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highlight w:val="none"/>
        </w:rPr>
      </w:pPr>
    </w:p>
    <w:p>
      <w:pPr>
        <w:spacing w:line="584" w:lineRule="exact"/>
        <w:ind w:firstLine="880" w:firstLineChars="200"/>
        <w:jc w:val="center"/>
        <w:rPr>
          <w:rFonts w:ascii="Times New Roman" w:hAnsi="Times New Roman" w:eastAsia="仿宋_GB2312" w:cs="Times New Roman"/>
          <w:color w:val="auto"/>
          <w:sz w:val="44"/>
          <w:szCs w:val="44"/>
          <w:highlight w:val="none"/>
        </w:rPr>
      </w:pPr>
    </w:p>
    <w:p>
      <w:pPr>
        <w:spacing w:line="584" w:lineRule="exact"/>
        <w:ind w:firstLine="880" w:firstLineChars="200"/>
        <w:jc w:val="center"/>
        <w:rPr>
          <w:rFonts w:ascii="Times New Roman" w:hAnsi="Times New Roman" w:eastAsia="方正小标宋简体" w:cs="Times New Roman"/>
          <w:color w:val="auto"/>
          <w:sz w:val="44"/>
          <w:szCs w:val="44"/>
          <w:highlight w:val="none"/>
        </w:rPr>
      </w:pPr>
      <w:r>
        <w:rPr>
          <w:rFonts w:ascii="Times New Roman" w:hAnsi="Times New Roman" w:eastAsia="方正小标宋简体" w:cs="Times New Roman"/>
          <w:color w:val="auto"/>
          <w:sz w:val="44"/>
          <w:szCs w:val="44"/>
          <w:highlight w:val="none"/>
        </w:rPr>
        <w:t>香河县</w:t>
      </w:r>
      <w:r>
        <w:rPr>
          <w:rFonts w:hint="eastAsia" w:ascii="Times New Roman" w:hAnsi="Times New Roman" w:eastAsia="方正小标宋简体" w:cs="Times New Roman"/>
          <w:color w:val="auto"/>
          <w:sz w:val="44"/>
          <w:szCs w:val="44"/>
          <w:highlight w:val="none"/>
          <w:lang w:eastAsia="zh-CN"/>
        </w:rPr>
        <w:t>安平镇人民政府</w:t>
      </w:r>
      <w:r>
        <w:rPr>
          <w:rFonts w:ascii="Times New Roman" w:hAnsi="Times New Roman" w:eastAsia="方正小标宋简体" w:cs="Times New Roman"/>
          <w:color w:val="auto"/>
          <w:sz w:val="44"/>
          <w:szCs w:val="44"/>
          <w:highlight w:val="none"/>
        </w:rPr>
        <w:t>20</w:t>
      </w:r>
      <w:r>
        <w:rPr>
          <w:rFonts w:hint="eastAsia" w:ascii="Times New Roman" w:hAnsi="Times New Roman" w:eastAsia="方正小标宋简体" w:cs="Times New Roman"/>
          <w:color w:val="auto"/>
          <w:sz w:val="44"/>
          <w:szCs w:val="44"/>
          <w:highlight w:val="none"/>
        </w:rPr>
        <w:t>21</w:t>
      </w:r>
      <w:r>
        <w:rPr>
          <w:rFonts w:ascii="Times New Roman" w:hAnsi="Times New Roman" w:eastAsia="方正小标宋简体" w:cs="Times New Roman"/>
          <w:color w:val="auto"/>
          <w:sz w:val="44"/>
          <w:szCs w:val="44"/>
          <w:highlight w:val="none"/>
        </w:rPr>
        <w:t>年</w:t>
      </w:r>
      <w:r>
        <w:rPr>
          <w:rFonts w:hint="eastAsia" w:ascii="Times New Roman" w:hAnsi="Times New Roman" w:eastAsia="方正小标宋简体" w:cs="Times New Roman"/>
          <w:color w:val="auto"/>
          <w:sz w:val="44"/>
          <w:szCs w:val="44"/>
          <w:highlight w:val="none"/>
        </w:rPr>
        <w:t>单位</w:t>
      </w:r>
      <w:r>
        <w:rPr>
          <w:rFonts w:ascii="Times New Roman" w:hAnsi="Times New Roman" w:eastAsia="方正小标宋简体" w:cs="Times New Roman"/>
          <w:color w:val="auto"/>
          <w:sz w:val="44"/>
          <w:szCs w:val="44"/>
          <w:highlight w:val="none"/>
        </w:rPr>
        <w:t>预算信息公开</w:t>
      </w:r>
      <w:r>
        <w:rPr>
          <w:rFonts w:hint="eastAsia" w:ascii="Times New Roman" w:hAnsi="Times New Roman" w:eastAsia="方正小标宋简体" w:cs="Times New Roman"/>
          <w:color w:val="auto"/>
          <w:sz w:val="44"/>
          <w:szCs w:val="44"/>
          <w:highlight w:val="none"/>
        </w:rPr>
        <w:t>情况说明</w:t>
      </w:r>
    </w:p>
    <w:p>
      <w:pPr>
        <w:spacing w:line="584" w:lineRule="exact"/>
        <w:ind w:firstLine="880" w:firstLineChars="200"/>
        <w:jc w:val="center"/>
        <w:rPr>
          <w:rFonts w:ascii="Times New Roman" w:hAnsi="Times New Roman" w:eastAsia="仿宋_GB2312" w:cs="Times New Roman"/>
          <w:color w:val="auto"/>
          <w:sz w:val="44"/>
          <w:szCs w:val="44"/>
          <w:highlight w:val="none"/>
        </w:rPr>
      </w:pPr>
    </w:p>
    <w:p>
      <w:pPr>
        <w:spacing w:line="584"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color w:val="auto"/>
          <w:sz w:val="32"/>
          <w:szCs w:val="32"/>
          <w:highlight w:val="none"/>
          <w:lang w:eastAsia="zh-CN"/>
        </w:rPr>
        <w:t>安平镇人民政府</w:t>
      </w: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年单位预算公开如下：</w:t>
      </w:r>
    </w:p>
    <w:p>
      <w:pPr>
        <w:spacing w:line="584"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一、单位职责及机构设置情况</w:t>
      </w:r>
    </w:p>
    <w:p>
      <w:pPr>
        <w:spacing w:line="584" w:lineRule="exact"/>
        <w:ind w:firstLine="643" w:firstLineChars="200"/>
        <w:rPr>
          <w:rFonts w:ascii="Times New Roman" w:hAnsi="Times New Roman" w:eastAsia="楷体_GB2312" w:cs="Times New Roman"/>
          <w:b/>
          <w:color w:val="auto"/>
          <w:sz w:val="32"/>
          <w:szCs w:val="32"/>
          <w:highlight w:val="none"/>
        </w:rPr>
      </w:pPr>
      <w:r>
        <w:rPr>
          <w:rFonts w:ascii="Times New Roman" w:hAnsi="Times New Roman" w:eastAsia="楷体_GB2312" w:cs="Times New Roman"/>
          <w:b/>
          <w:color w:val="auto"/>
          <w:sz w:val="32"/>
          <w:szCs w:val="32"/>
          <w:highlight w:val="none"/>
        </w:rPr>
        <w:t>单位职责：</w:t>
      </w:r>
    </w:p>
    <w:p>
      <w:pPr>
        <w:spacing w:line="50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根据《安平镇职能配置、内设机构和人员编制规定》， 安平镇的主要职责是：</w:t>
      </w:r>
    </w:p>
    <w:p>
      <w:pPr>
        <w:autoSpaceDE w:val="0"/>
        <w:autoSpaceDN w:val="0"/>
        <w:adjustRightInd w:val="0"/>
        <w:spacing w:line="584" w:lineRule="exact"/>
        <w:ind w:firstLine="627" w:firstLineChars="196"/>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镇党委、政府处于领导农业和农村工作的第一线，承担着建设社会主义新农村的光荣使命。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镇各项工作的统一领导，充分发挥总揽全局、协调各方面的领导核心作用。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强化引导功能，集中精力抓好党的农村工作方针政策的落实，抓好基层政策建设和农村产业结构调整等带有方向性和全局性的工作，引导农村富余劳动力向小城镇转移，促进农村的现代化建设。强化服务功能，着重在技术、信息、人才、资金等方向为农民提供服务，为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镇工作“一盘棋”互相配合。同时，进一步规范镇政府和村级组织的工作职能作用。镇党委、政府作为党在农村的基层组织和基层政权，对本地经济和社会发展负有领导责任，具有综合管理和协调的功能。进一步理顺县镇关系，建立以块为主、条块结合的行政管理体制。</w:t>
      </w:r>
    </w:p>
    <w:p>
      <w:pPr>
        <w:spacing w:line="584" w:lineRule="exact"/>
        <w:ind w:firstLine="660"/>
        <w:rPr>
          <w:rFonts w:ascii="Times New Roman" w:hAnsi="Times New Roman" w:eastAsia="仿宋_GB2312" w:cs="Times New Roman"/>
          <w:color w:val="auto"/>
          <w:sz w:val="32"/>
          <w:szCs w:val="32"/>
          <w:highlight w:val="none"/>
        </w:rPr>
      </w:pPr>
    </w:p>
    <w:p>
      <w:pPr>
        <w:autoSpaceDE w:val="0"/>
        <w:autoSpaceDN w:val="0"/>
        <w:adjustRightInd w:val="0"/>
        <w:spacing w:line="584" w:lineRule="exact"/>
        <w:ind w:firstLine="630" w:firstLineChars="196"/>
        <w:jc w:val="left"/>
        <w:rPr>
          <w:rFonts w:ascii="Times New Roman" w:hAnsi="Times New Roman" w:eastAsia="楷体_GB2312" w:cs="Times New Roman"/>
          <w:b/>
          <w:color w:val="auto"/>
          <w:sz w:val="32"/>
          <w:szCs w:val="32"/>
          <w:highlight w:val="none"/>
        </w:rPr>
      </w:pPr>
      <w:r>
        <w:rPr>
          <w:rFonts w:ascii="Times New Roman" w:hAnsi="Times New Roman" w:eastAsia="楷体_GB2312" w:cs="Times New Roman"/>
          <w:b/>
          <w:color w:val="auto"/>
          <w:sz w:val="32"/>
          <w:szCs w:val="32"/>
          <w:highlight w:val="none"/>
        </w:rPr>
        <w:t>机构设置：</w:t>
      </w:r>
    </w:p>
    <w:p>
      <w:pPr>
        <w:spacing w:line="584" w:lineRule="exact"/>
        <w:jc w:val="center"/>
        <w:outlineLvl w:val="0"/>
        <w:rPr>
          <w:rFonts w:ascii="Times New Roman" w:hAnsi="Times New Roman" w:eastAsia="仿宋_GB2312" w:cs="Times New Roman"/>
          <w:b/>
          <w:color w:val="auto"/>
          <w:sz w:val="32"/>
          <w:szCs w:val="24"/>
          <w:highlight w:val="none"/>
        </w:rPr>
      </w:pPr>
      <w:r>
        <w:rPr>
          <w:rFonts w:ascii="Times New Roman" w:hAnsi="Times New Roman" w:eastAsia="仿宋_GB2312" w:cs="Times New Roman"/>
          <w:b/>
          <w:color w:val="auto"/>
          <w:sz w:val="32"/>
          <w:szCs w:val="24"/>
          <w:highlight w:val="none"/>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auto"/>
                <w:szCs w:val="24"/>
                <w:highlight w:val="none"/>
              </w:rPr>
            </w:pPr>
            <w:r>
              <w:rPr>
                <w:rFonts w:ascii="Times New Roman" w:hAnsi="Times New Roman" w:eastAsia="仿宋_GB2312" w:cs="Times New Roman"/>
                <w:b/>
                <w:color w:val="auto"/>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color w:val="auto"/>
                <w:highlight w:val="none"/>
              </w:rPr>
            </w:pPr>
          </w:p>
        </w:tc>
        <w:tc>
          <w:tcPr>
            <w:tcW w:w="1134" w:type="dxa"/>
            <w:vMerge w:val="continue"/>
            <w:shd w:val="clear" w:color="auto" w:fill="auto"/>
            <w:vAlign w:val="center"/>
          </w:tcPr>
          <w:p>
            <w:pPr>
              <w:rPr>
                <w:color w:val="auto"/>
                <w:highlight w:val="none"/>
              </w:rPr>
            </w:pPr>
          </w:p>
        </w:tc>
        <w:tc>
          <w:tcPr>
            <w:tcW w:w="1276" w:type="dxa"/>
            <w:vMerge w:val="continue"/>
            <w:shd w:val="clear" w:color="auto" w:fill="auto"/>
            <w:vAlign w:val="center"/>
          </w:tcPr>
          <w:p>
            <w:pPr>
              <w:rPr>
                <w:color w:val="auto"/>
                <w:highlight w:val="none"/>
              </w:rPr>
            </w:pPr>
          </w:p>
        </w:tc>
        <w:tc>
          <w:tcPr>
            <w:tcW w:w="2902" w:type="dxa"/>
            <w:vMerge w:val="continue"/>
            <w:shd w:val="clear" w:color="auto" w:fill="auto"/>
            <w:vAlign w:val="center"/>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color w:val="auto"/>
                <w:highlight w:val="none"/>
              </w:rPr>
            </w:pPr>
            <w:r>
              <w:rPr>
                <w:rFonts w:hint="eastAsia" w:ascii="Times New Roman" w:hAnsi="Times New Roman" w:eastAsia="方正书宋_GBK" w:cs="Times New Roman"/>
                <w:color w:val="auto"/>
                <w:szCs w:val="24"/>
                <w:highlight w:val="none"/>
                <w:lang w:eastAsia="zh-CN"/>
              </w:rPr>
              <w:t>香河县安平镇人民政府</w:t>
            </w:r>
          </w:p>
        </w:tc>
        <w:tc>
          <w:tcPr>
            <w:tcW w:w="1134" w:type="dxa"/>
            <w:shd w:val="clear" w:color="auto" w:fill="auto"/>
            <w:vAlign w:val="center"/>
          </w:tcPr>
          <w:p>
            <w:pPr>
              <w:spacing w:line="300" w:lineRule="exact"/>
              <w:jc w:val="left"/>
              <w:rPr>
                <w:rFonts w:ascii="Times New Roman" w:hAnsi="Times New Roman" w:eastAsia="仿宋_GB2312" w:cs="Times New Roman"/>
                <w:b/>
                <w:color w:val="auto"/>
                <w:highlight w:val="none"/>
              </w:rPr>
            </w:pPr>
            <w:r>
              <w:rPr>
                <w:rFonts w:hint="eastAsia" w:ascii="仿宋" w:hAnsi="仿宋" w:eastAsia="仿宋"/>
                <w:color w:val="auto"/>
                <w:szCs w:val="24"/>
                <w:highlight w:val="none"/>
              </w:rPr>
              <w:t>行政</w:t>
            </w:r>
          </w:p>
        </w:tc>
        <w:tc>
          <w:tcPr>
            <w:tcW w:w="1276" w:type="dxa"/>
            <w:shd w:val="clear" w:color="auto" w:fill="auto"/>
            <w:vAlign w:val="center"/>
          </w:tcPr>
          <w:p>
            <w:pPr>
              <w:spacing w:line="300" w:lineRule="exact"/>
              <w:jc w:val="left"/>
              <w:rPr>
                <w:rFonts w:ascii="Times New Roman" w:hAnsi="Times New Roman" w:eastAsia="仿宋_GB2312" w:cs="Times New Roman"/>
                <w:b/>
                <w:color w:val="auto"/>
                <w:highlight w:val="none"/>
              </w:rPr>
            </w:pPr>
            <w:r>
              <w:rPr>
                <w:rFonts w:hint="eastAsia" w:ascii="仿宋" w:hAnsi="仿宋" w:eastAsia="仿宋"/>
                <w:color w:val="auto"/>
                <w:szCs w:val="24"/>
                <w:highlight w:val="none"/>
              </w:rPr>
              <w:t>正科级</w:t>
            </w:r>
          </w:p>
        </w:tc>
        <w:tc>
          <w:tcPr>
            <w:tcW w:w="2902" w:type="dxa"/>
            <w:shd w:val="clear" w:color="auto" w:fill="auto"/>
            <w:vAlign w:val="center"/>
          </w:tcPr>
          <w:p>
            <w:pPr>
              <w:spacing w:line="300" w:lineRule="exact"/>
              <w:jc w:val="left"/>
              <w:rPr>
                <w:rFonts w:ascii="Times New Roman" w:hAnsi="Times New Roman" w:eastAsia="仿宋_GB2312" w:cs="Times New Roman"/>
                <w:b/>
                <w:color w:val="auto"/>
                <w:highlight w:val="none"/>
              </w:rPr>
            </w:pPr>
            <w:r>
              <w:rPr>
                <w:rFonts w:hint="eastAsia" w:ascii="仿宋" w:hAnsi="仿宋" w:eastAsia="仿宋"/>
                <w:color w:val="auto"/>
                <w:szCs w:val="24"/>
                <w:highlight w:val="none"/>
              </w:rPr>
              <w:t>财政拨款</w:t>
            </w:r>
          </w:p>
        </w:tc>
      </w:tr>
    </w:tbl>
    <w:p>
      <w:pPr>
        <w:spacing w:line="584" w:lineRule="exact"/>
        <w:ind w:firstLine="640" w:firstLineChars="200"/>
        <w:rPr>
          <w:rFonts w:ascii="Times New Roman" w:hAnsi="Times New Roman" w:eastAsia="黑体" w:cs="Times New Roman"/>
          <w:color w:val="auto"/>
          <w:sz w:val="32"/>
          <w:szCs w:val="32"/>
          <w:highlight w:val="none"/>
        </w:rPr>
      </w:pPr>
    </w:p>
    <w:p>
      <w:pPr>
        <w:spacing w:line="584" w:lineRule="exact"/>
        <w:ind w:firstLine="640" w:firstLineChars="200"/>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二、单位预算安排的总体情况</w:t>
      </w:r>
    </w:p>
    <w:p>
      <w:pPr>
        <w:spacing w:line="584"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按照预算管理有关规定，目前我县部门预算的编制实行综合预算制度，即全部收入和支出都反映在预算中。香河县</w:t>
      </w:r>
      <w:r>
        <w:rPr>
          <w:rFonts w:hint="eastAsia" w:ascii="Times New Roman" w:hAnsi="Times New Roman" w:eastAsia="仿宋_GB2312"/>
          <w:color w:val="auto"/>
          <w:sz w:val="32"/>
          <w:szCs w:val="32"/>
          <w:highlight w:val="none"/>
          <w:lang w:eastAsia="zh-CN"/>
        </w:rPr>
        <w:t>安平镇</w:t>
      </w:r>
      <w:r>
        <w:rPr>
          <w:rFonts w:ascii="Times New Roman" w:hAnsi="Times New Roman" w:eastAsia="仿宋_GB2312"/>
          <w:color w:val="auto"/>
          <w:sz w:val="32"/>
          <w:szCs w:val="32"/>
          <w:highlight w:val="none"/>
        </w:rPr>
        <w:t>机关及所属事业单位的收支包含在部门预算中。</w:t>
      </w:r>
    </w:p>
    <w:p>
      <w:pPr>
        <w:spacing w:line="584" w:lineRule="exact"/>
        <w:ind w:firstLine="64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1、收入说明</w:t>
      </w:r>
    </w:p>
    <w:p>
      <w:pPr>
        <w:spacing w:line="584" w:lineRule="exact"/>
        <w:ind w:firstLine="64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反映本单位当年全部收入。20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年预算收入</w:t>
      </w:r>
      <w:r>
        <w:rPr>
          <w:rFonts w:hint="eastAsia" w:ascii="Times New Roman" w:hAnsi="Times New Roman" w:eastAsia="仿宋_GB2312" w:cs="Times New Roman"/>
          <w:color w:val="auto"/>
          <w:sz w:val="32"/>
          <w:szCs w:val="32"/>
          <w:highlight w:val="none"/>
          <w:lang w:val="en-US" w:eastAsia="zh-CN"/>
        </w:rPr>
        <w:t>10624.79</w:t>
      </w:r>
      <w:r>
        <w:rPr>
          <w:rFonts w:ascii="Times New Roman" w:hAnsi="Times New Roman" w:eastAsia="仿宋_GB2312" w:cs="Times New Roman"/>
          <w:color w:val="auto"/>
          <w:sz w:val="32"/>
          <w:szCs w:val="32"/>
          <w:highlight w:val="none"/>
        </w:rPr>
        <w:t>万元，其中：一般公共预算收入</w:t>
      </w:r>
      <w:r>
        <w:rPr>
          <w:rFonts w:hint="eastAsia" w:ascii="Times New Roman" w:hAnsi="Times New Roman" w:eastAsia="仿宋_GB2312" w:cs="Times New Roman"/>
          <w:color w:val="auto"/>
          <w:sz w:val="32"/>
          <w:szCs w:val="32"/>
          <w:highlight w:val="none"/>
          <w:lang w:val="en-US" w:eastAsia="zh-CN"/>
        </w:rPr>
        <w:t>4244.84</w:t>
      </w:r>
      <w:r>
        <w:rPr>
          <w:rFonts w:ascii="Times New Roman" w:hAnsi="Times New Roman" w:eastAsia="仿宋_GB2312" w:cs="Times New Roman"/>
          <w:color w:val="auto"/>
          <w:sz w:val="32"/>
          <w:szCs w:val="32"/>
          <w:highlight w:val="none"/>
        </w:rPr>
        <w:t>万元，基金预算收入</w:t>
      </w:r>
      <w:r>
        <w:rPr>
          <w:rFonts w:hint="eastAsia" w:ascii="Times New Roman" w:hAnsi="Times New Roman" w:eastAsia="仿宋_GB2312" w:cs="Times New Roman"/>
          <w:color w:val="auto"/>
          <w:sz w:val="32"/>
          <w:szCs w:val="32"/>
          <w:highlight w:val="none"/>
          <w:lang w:val="en-US" w:eastAsia="zh-CN"/>
        </w:rPr>
        <w:t>6350</w:t>
      </w:r>
      <w:r>
        <w:rPr>
          <w:rFonts w:ascii="Times New Roman" w:hAnsi="Times New Roman" w:eastAsia="仿宋_GB2312" w:cs="Times New Roman"/>
          <w:color w:val="auto"/>
          <w:sz w:val="32"/>
          <w:szCs w:val="32"/>
          <w:highlight w:val="none"/>
        </w:rPr>
        <w:t>万元，财政专户核拨收入</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万元，其他来源收入</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上年结转</w:t>
      </w:r>
      <w:r>
        <w:rPr>
          <w:rFonts w:hint="eastAsia" w:ascii="Times New Roman" w:hAnsi="Times New Roman" w:eastAsia="仿宋_GB2312" w:cs="Times New Roman"/>
          <w:color w:val="auto"/>
          <w:sz w:val="32"/>
          <w:szCs w:val="32"/>
          <w:highlight w:val="none"/>
          <w:lang w:val="en-US" w:eastAsia="zh-CN"/>
        </w:rPr>
        <w:t>29.95</w:t>
      </w:r>
      <w:r>
        <w:rPr>
          <w:rFonts w:hint="eastAsia" w:ascii="Times New Roman" w:hAnsi="Times New Roman" w:eastAsia="仿宋_GB2312" w:cs="Times New Roman"/>
          <w:color w:val="auto"/>
          <w:sz w:val="32"/>
          <w:szCs w:val="32"/>
          <w:highlight w:val="none"/>
        </w:rPr>
        <w:t>万元</w:t>
      </w:r>
      <w:r>
        <w:rPr>
          <w:rFonts w:ascii="Times New Roman" w:hAnsi="Times New Roman" w:eastAsia="仿宋_GB2312" w:cs="Times New Roman"/>
          <w:color w:val="auto"/>
          <w:sz w:val="32"/>
          <w:szCs w:val="32"/>
          <w:highlight w:val="none"/>
        </w:rPr>
        <w:t>。</w:t>
      </w:r>
    </w:p>
    <w:p>
      <w:pPr>
        <w:spacing w:line="584" w:lineRule="exact"/>
        <w:ind w:firstLine="64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2、支出说明</w:t>
      </w:r>
    </w:p>
    <w:p>
      <w:pPr>
        <w:spacing w:line="584" w:lineRule="exact"/>
        <w:ind w:firstLine="64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收支预算总表支出栏、基本支出表、项目支出表按经济分类和支出功能分类科目编制，反映香河县</w:t>
      </w:r>
      <w:r>
        <w:rPr>
          <w:rFonts w:hint="eastAsia" w:ascii="Times New Roman" w:hAnsi="Times New Roman" w:eastAsia="仿宋_GB2312" w:cs="Times New Roman"/>
          <w:color w:val="auto"/>
          <w:sz w:val="32"/>
          <w:szCs w:val="32"/>
          <w:highlight w:val="none"/>
          <w:lang w:eastAsia="zh-CN"/>
        </w:rPr>
        <w:t>安平镇政府</w:t>
      </w:r>
      <w:r>
        <w:rPr>
          <w:rFonts w:hint="eastAsia" w:ascii="Times New Roman" w:hAnsi="Times New Roman" w:eastAsia="仿宋_GB2312" w:cs="Times New Roman"/>
          <w:color w:val="auto"/>
          <w:sz w:val="32"/>
          <w:szCs w:val="32"/>
          <w:highlight w:val="none"/>
          <w:lang w:val="en-US" w:eastAsia="zh-CN"/>
        </w:rPr>
        <w:t>2021</w:t>
      </w:r>
      <w:r>
        <w:rPr>
          <w:rFonts w:ascii="Times New Roman" w:hAnsi="Times New Roman" w:eastAsia="仿宋_GB2312" w:cs="Times New Roman"/>
          <w:color w:val="auto"/>
          <w:sz w:val="32"/>
          <w:szCs w:val="32"/>
          <w:highlight w:val="none"/>
        </w:rPr>
        <w:t>年度单位预算中支出预算的总体情况。20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年支出预算</w:t>
      </w:r>
      <w:r>
        <w:rPr>
          <w:rFonts w:hint="eastAsia" w:ascii="Times New Roman" w:hAnsi="Times New Roman" w:eastAsia="仿宋_GB2312" w:cs="Times New Roman"/>
          <w:color w:val="auto"/>
          <w:sz w:val="32"/>
          <w:szCs w:val="32"/>
          <w:highlight w:val="none"/>
          <w:lang w:val="en-US" w:eastAsia="zh-CN"/>
        </w:rPr>
        <w:t>10624.79</w:t>
      </w:r>
      <w:r>
        <w:rPr>
          <w:rFonts w:ascii="Times New Roman" w:hAnsi="Times New Roman" w:eastAsia="仿宋_GB2312" w:cs="Times New Roman"/>
          <w:color w:val="auto"/>
          <w:sz w:val="32"/>
          <w:szCs w:val="32"/>
          <w:highlight w:val="none"/>
        </w:rPr>
        <w:t>万元，其中基本支出</w:t>
      </w:r>
      <w:r>
        <w:rPr>
          <w:rFonts w:hint="eastAsia" w:ascii="Times New Roman" w:hAnsi="Times New Roman" w:eastAsia="仿宋_GB2312" w:cs="Times New Roman"/>
          <w:color w:val="auto"/>
          <w:sz w:val="32"/>
          <w:szCs w:val="32"/>
          <w:highlight w:val="none"/>
          <w:lang w:val="en-US" w:eastAsia="zh-CN"/>
        </w:rPr>
        <w:t>2267.65</w:t>
      </w:r>
      <w:r>
        <w:rPr>
          <w:rFonts w:ascii="Times New Roman" w:hAnsi="Times New Roman" w:eastAsia="仿宋_GB2312" w:cs="Times New Roman"/>
          <w:color w:val="auto"/>
          <w:sz w:val="32"/>
          <w:szCs w:val="32"/>
          <w:highlight w:val="none"/>
        </w:rPr>
        <w:t>万元，包括人员类项目经费</w:t>
      </w:r>
      <w:r>
        <w:rPr>
          <w:rFonts w:hint="eastAsia" w:ascii="Times New Roman" w:hAnsi="Times New Roman" w:eastAsia="仿宋_GB2312" w:cs="Times New Roman"/>
          <w:color w:val="auto"/>
          <w:sz w:val="32"/>
          <w:szCs w:val="32"/>
          <w:highlight w:val="none"/>
          <w:lang w:val="en-US" w:eastAsia="zh-CN"/>
        </w:rPr>
        <w:t>1910.68</w:t>
      </w:r>
      <w:r>
        <w:rPr>
          <w:rFonts w:ascii="Times New Roman" w:hAnsi="Times New Roman" w:eastAsia="仿宋_GB2312" w:cs="Times New Roman"/>
          <w:color w:val="auto"/>
          <w:sz w:val="32"/>
          <w:szCs w:val="32"/>
          <w:highlight w:val="none"/>
        </w:rPr>
        <w:t>万元和</w:t>
      </w:r>
      <w:r>
        <w:rPr>
          <w:rFonts w:hint="eastAsia" w:ascii="Times New Roman" w:hAnsi="Times New Roman" w:eastAsia="仿宋_GB2312" w:cs="Times New Roman"/>
          <w:color w:val="auto"/>
          <w:sz w:val="32"/>
          <w:szCs w:val="32"/>
          <w:highlight w:val="none"/>
        </w:rPr>
        <w:t>运转类</w:t>
      </w:r>
      <w:r>
        <w:rPr>
          <w:rFonts w:ascii="Times New Roman" w:hAnsi="Times New Roman" w:eastAsia="仿宋_GB2312" w:cs="Times New Roman"/>
          <w:color w:val="auto"/>
          <w:sz w:val="32"/>
          <w:szCs w:val="32"/>
          <w:highlight w:val="none"/>
        </w:rPr>
        <w:t>公用项目经费</w:t>
      </w:r>
      <w:r>
        <w:rPr>
          <w:rFonts w:hint="eastAsia" w:ascii="Times New Roman" w:hAnsi="Times New Roman" w:eastAsia="仿宋_GB2312" w:cs="Times New Roman"/>
          <w:color w:val="auto"/>
          <w:sz w:val="32"/>
          <w:szCs w:val="32"/>
          <w:highlight w:val="none"/>
          <w:lang w:val="en-US" w:eastAsia="zh-CN"/>
        </w:rPr>
        <w:t>8357.14</w:t>
      </w:r>
      <w:r>
        <w:rPr>
          <w:rFonts w:ascii="Times New Roman" w:hAnsi="Times New Roman" w:eastAsia="仿宋_GB2312" w:cs="Times New Roman"/>
          <w:color w:val="auto"/>
          <w:sz w:val="32"/>
          <w:szCs w:val="32"/>
          <w:highlight w:val="none"/>
        </w:rPr>
        <w:t>万元；运转类其他及特定目标类项目支出</w:t>
      </w:r>
      <w:r>
        <w:rPr>
          <w:rFonts w:hint="eastAsia" w:ascii="Times New Roman" w:hAnsi="Times New Roman" w:eastAsia="仿宋_GB2312" w:cs="Times New Roman"/>
          <w:color w:val="auto"/>
          <w:sz w:val="32"/>
          <w:szCs w:val="32"/>
          <w:highlight w:val="none"/>
          <w:lang w:val="en-US" w:eastAsia="zh-CN"/>
        </w:rPr>
        <w:t>8357.14</w:t>
      </w:r>
      <w:r>
        <w:rPr>
          <w:rFonts w:ascii="Times New Roman" w:hAnsi="Times New Roman" w:eastAsia="仿宋_GB2312" w:cs="Times New Roman"/>
          <w:color w:val="auto"/>
          <w:sz w:val="32"/>
          <w:szCs w:val="32"/>
          <w:highlight w:val="none"/>
        </w:rPr>
        <w:t>万元，包括本级支出</w:t>
      </w:r>
      <w:r>
        <w:rPr>
          <w:rFonts w:hint="eastAsia" w:ascii="Times New Roman" w:hAnsi="Times New Roman" w:eastAsia="仿宋_GB2312" w:cs="Times New Roman"/>
          <w:color w:val="auto"/>
          <w:sz w:val="32"/>
          <w:szCs w:val="32"/>
          <w:highlight w:val="none"/>
          <w:lang w:val="en-US" w:eastAsia="zh-CN"/>
        </w:rPr>
        <w:t>8357.14万元，</w:t>
      </w:r>
      <w:r>
        <w:rPr>
          <w:rFonts w:ascii="Times New Roman" w:hAnsi="Times New Roman" w:eastAsia="仿宋_GB2312" w:cs="Times New Roman"/>
          <w:color w:val="auto"/>
          <w:sz w:val="32"/>
          <w:szCs w:val="32"/>
          <w:highlight w:val="none"/>
        </w:rPr>
        <w:t>主要为</w:t>
      </w:r>
      <w:r>
        <w:rPr>
          <w:rFonts w:hint="eastAsia" w:ascii="Times New Roman" w:hAnsi="Times New Roman" w:eastAsia="仿宋_GB2312" w:cs="Times New Roman"/>
          <w:color w:val="auto"/>
          <w:sz w:val="32"/>
          <w:szCs w:val="32"/>
          <w:highlight w:val="none"/>
        </w:rPr>
        <w:t>鲁家务安运码头占地地上物补偿款</w:t>
      </w:r>
      <w:r>
        <w:rPr>
          <w:rFonts w:hint="eastAsia" w:ascii="Times New Roman" w:hAnsi="Times New Roman" w:eastAsia="仿宋_GB2312" w:cs="Times New Roman"/>
          <w:color w:val="auto"/>
          <w:sz w:val="32"/>
          <w:szCs w:val="32"/>
          <w:highlight w:val="none"/>
          <w:lang w:val="en-US" w:eastAsia="zh-CN"/>
        </w:rPr>
        <w:t>300万元</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服务群众专项经费</w:t>
      </w:r>
      <w:r>
        <w:rPr>
          <w:rFonts w:hint="eastAsia" w:ascii="Times New Roman" w:hAnsi="Times New Roman" w:eastAsia="仿宋_GB2312" w:cs="Times New Roman"/>
          <w:color w:val="auto"/>
          <w:sz w:val="32"/>
          <w:szCs w:val="32"/>
          <w:highlight w:val="none"/>
          <w:lang w:val="en-US" w:eastAsia="zh-CN"/>
        </w:rPr>
        <w:t>341.5万元</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北运河旅游通航工程占地补偿款</w:t>
      </w:r>
      <w:r>
        <w:rPr>
          <w:rFonts w:hint="eastAsia" w:ascii="Times New Roman" w:hAnsi="Times New Roman" w:eastAsia="仿宋_GB2312" w:cs="Times New Roman"/>
          <w:color w:val="auto"/>
          <w:sz w:val="32"/>
          <w:szCs w:val="32"/>
          <w:highlight w:val="none"/>
          <w:lang w:val="en-US" w:eastAsia="zh-CN"/>
        </w:rPr>
        <w:t>1000万元、</w:t>
      </w:r>
      <w:r>
        <w:rPr>
          <w:rFonts w:hint="eastAsia" w:ascii="Times New Roman" w:hAnsi="Times New Roman" w:eastAsia="仿宋_GB2312" w:cs="Times New Roman"/>
          <w:color w:val="auto"/>
          <w:sz w:val="32"/>
          <w:szCs w:val="32"/>
          <w:highlight w:val="none"/>
        </w:rPr>
        <w:t>土地补偿款</w:t>
      </w:r>
      <w:r>
        <w:rPr>
          <w:rFonts w:hint="eastAsia" w:ascii="Times New Roman" w:hAnsi="Times New Roman" w:eastAsia="仿宋_GB2312" w:cs="Times New Roman"/>
          <w:color w:val="auto"/>
          <w:sz w:val="32"/>
          <w:szCs w:val="32"/>
          <w:highlight w:val="none"/>
          <w:lang w:val="en-US" w:eastAsia="zh-CN"/>
        </w:rPr>
        <w:t>5100万元</w:t>
      </w:r>
      <w:r>
        <w:rPr>
          <w:rFonts w:ascii="Times New Roman" w:hAnsi="Times New Roman" w:eastAsia="仿宋_GB2312" w:cs="Times New Roman"/>
          <w:color w:val="auto"/>
          <w:sz w:val="32"/>
          <w:szCs w:val="32"/>
          <w:highlight w:val="none"/>
        </w:rPr>
        <w:t>等；上缴上级支出</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万元；其他支出</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w:t>
      </w:r>
    </w:p>
    <w:p>
      <w:pPr>
        <w:spacing w:line="584" w:lineRule="exact"/>
        <w:ind w:firstLine="64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3、比上年增减情况</w:t>
      </w:r>
    </w:p>
    <w:p>
      <w:pPr>
        <w:spacing w:line="584" w:lineRule="exact"/>
        <w:ind w:firstLine="64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年预算收支安排</w:t>
      </w:r>
      <w:r>
        <w:rPr>
          <w:rFonts w:hint="eastAsia" w:ascii="Times New Roman" w:hAnsi="Times New Roman" w:eastAsia="仿宋_GB2312" w:cs="Times New Roman"/>
          <w:color w:val="auto"/>
          <w:sz w:val="32"/>
          <w:szCs w:val="32"/>
          <w:highlight w:val="none"/>
          <w:lang w:val="en-US" w:eastAsia="zh-CN"/>
        </w:rPr>
        <w:t>10624.79</w:t>
      </w:r>
      <w:r>
        <w:rPr>
          <w:rFonts w:ascii="Times New Roman" w:hAnsi="Times New Roman" w:eastAsia="仿宋_GB2312" w:cs="Times New Roman"/>
          <w:color w:val="auto"/>
          <w:sz w:val="32"/>
          <w:szCs w:val="32"/>
          <w:highlight w:val="none"/>
        </w:rPr>
        <w:t>万元，较20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年预算增加</w:t>
      </w:r>
      <w:r>
        <w:rPr>
          <w:rFonts w:hint="eastAsia" w:ascii="Times New Roman" w:hAnsi="Times New Roman" w:eastAsia="仿宋_GB2312" w:cs="Times New Roman"/>
          <w:color w:val="auto"/>
          <w:sz w:val="32"/>
          <w:szCs w:val="32"/>
          <w:highlight w:val="none"/>
          <w:lang w:val="en-US" w:eastAsia="zh-CN"/>
        </w:rPr>
        <w:t>6551.29</w:t>
      </w:r>
      <w:r>
        <w:rPr>
          <w:rFonts w:ascii="Times New Roman" w:hAnsi="Times New Roman" w:eastAsia="仿宋_GB2312" w:cs="Times New Roman"/>
          <w:color w:val="auto"/>
          <w:sz w:val="32"/>
          <w:szCs w:val="32"/>
          <w:highlight w:val="none"/>
        </w:rPr>
        <w:t>万元，其中：基本支出减少</w:t>
      </w:r>
      <w:r>
        <w:rPr>
          <w:rFonts w:hint="eastAsia" w:ascii="Times New Roman" w:hAnsi="Times New Roman" w:eastAsia="仿宋_GB2312" w:cs="Times New Roman"/>
          <w:color w:val="auto"/>
          <w:sz w:val="32"/>
          <w:szCs w:val="32"/>
          <w:highlight w:val="none"/>
          <w:lang w:val="en-US" w:eastAsia="zh-CN"/>
        </w:rPr>
        <w:t>462.63</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sz w:val="32"/>
          <w:szCs w:val="32"/>
          <w:lang w:eastAsia="zh-CN"/>
        </w:rPr>
        <w:t>压缩日常</w:t>
      </w:r>
      <w:r>
        <w:rPr>
          <w:rFonts w:ascii="Times New Roman" w:hAnsi="Times New Roman" w:eastAsia="仿宋_GB2312" w:cs="Times New Roman"/>
          <w:color w:val="auto"/>
          <w:sz w:val="32"/>
          <w:szCs w:val="32"/>
          <w:highlight w:val="none"/>
        </w:rPr>
        <w:t>支出；项目支出增加</w:t>
      </w:r>
      <w:r>
        <w:rPr>
          <w:rFonts w:hint="eastAsia" w:ascii="Times New Roman" w:hAnsi="Times New Roman" w:eastAsia="仿宋_GB2312" w:cs="Times New Roman"/>
          <w:color w:val="auto"/>
          <w:sz w:val="32"/>
          <w:szCs w:val="32"/>
          <w:highlight w:val="none"/>
          <w:lang w:val="en-US" w:eastAsia="zh-CN"/>
        </w:rPr>
        <w:t>6994.88</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rPr>
        <w:t>运河开发项目</w:t>
      </w:r>
      <w:r>
        <w:rPr>
          <w:rFonts w:ascii="Times New Roman" w:hAnsi="Times New Roman" w:eastAsia="仿宋_GB2312" w:cs="Times New Roman"/>
          <w:color w:val="auto"/>
          <w:sz w:val="32"/>
          <w:szCs w:val="32"/>
          <w:highlight w:val="none"/>
        </w:rPr>
        <w:t>支出。</w:t>
      </w:r>
    </w:p>
    <w:p>
      <w:pPr>
        <w:autoSpaceDE w:val="0"/>
        <w:autoSpaceDN w:val="0"/>
        <w:adjustRightInd w:val="0"/>
        <w:spacing w:line="584" w:lineRule="exact"/>
        <w:ind w:left="198" w:firstLine="640" w:firstLineChars="200"/>
        <w:jc w:val="left"/>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年，我局机关运行经费共计安排</w:t>
      </w:r>
      <w:r>
        <w:rPr>
          <w:rFonts w:hint="eastAsia" w:ascii="Times New Roman" w:hAnsi="Times New Roman" w:eastAsia="仿宋_GB2312" w:cs="Times New Roman"/>
          <w:color w:val="auto"/>
          <w:sz w:val="32"/>
          <w:szCs w:val="32"/>
          <w:highlight w:val="none"/>
          <w:lang w:val="en-US" w:eastAsia="zh-CN"/>
        </w:rPr>
        <w:t>356.97</w:t>
      </w:r>
      <w:r>
        <w:rPr>
          <w:rFonts w:ascii="Times New Roman" w:hAnsi="Times New Roman" w:eastAsia="仿宋_GB2312" w:cs="Times New Roman"/>
          <w:color w:val="auto"/>
          <w:sz w:val="32"/>
          <w:szCs w:val="32"/>
          <w:highlight w:val="none"/>
        </w:rPr>
        <w:t>万元，主要用于</w:t>
      </w:r>
      <w:r>
        <w:rPr>
          <w:rFonts w:hint="eastAsia" w:ascii="Times New Roman" w:hAnsi="Times New Roman" w:eastAsia="仿宋_GB2312" w:cs="Times New Roman"/>
          <w:color w:val="auto"/>
          <w:sz w:val="32"/>
          <w:szCs w:val="32"/>
          <w:highlight w:val="none"/>
          <w:lang w:eastAsia="zh-CN"/>
        </w:rPr>
        <w:t>安平镇</w:t>
      </w:r>
      <w:r>
        <w:rPr>
          <w:rFonts w:ascii="Times New Roman" w:hAnsi="Times New Roman" w:eastAsia="仿宋_GB2312" w:cs="Times New Roman"/>
          <w:color w:val="auto"/>
          <w:sz w:val="32"/>
          <w:szCs w:val="32"/>
          <w:highlight w:val="none"/>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rPr>
        <w:t>21</w:t>
      </w:r>
      <w:r>
        <w:rPr>
          <w:rFonts w:ascii="Times New Roman" w:hAnsi="Times New Roman" w:eastAsia="仿宋_GB2312" w:cs="Times New Roman"/>
          <w:color w:val="auto"/>
          <w:sz w:val="32"/>
          <w:szCs w:val="32"/>
          <w:highlight w:val="none"/>
        </w:rPr>
        <w:t>年，我局财政拨款“三公”经费预算安排。。。。万元</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其中</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因公出国（境）费</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万元；公务用车购置及运维费</w:t>
      </w:r>
      <w:r>
        <w:rPr>
          <w:rFonts w:hint="eastAsia" w:ascii="Times New Roman" w:hAnsi="Times New Roman" w:eastAsia="仿宋_GB2312" w:cs="Times New Roman"/>
          <w:color w:val="auto"/>
          <w:sz w:val="32"/>
          <w:szCs w:val="32"/>
          <w:highlight w:val="none"/>
          <w:lang w:val="en-US" w:eastAsia="zh-CN"/>
        </w:rPr>
        <w:t>3.8</w:t>
      </w:r>
      <w:r>
        <w:rPr>
          <w:rFonts w:ascii="Times New Roman" w:hAnsi="Times New Roman" w:eastAsia="仿宋_GB2312" w:cs="Times New Roman"/>
          <w:color w:val="auto"/>
          <w:sz w:val="32"/>
          <w:szCs w:val="32"/>
          <w:highlight w:val="none"/>
        </w:rPr>
        <w:t>万元（其中：公务用车购置费为</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万元，公务用车运维费</w:t>
      </w:r>
      <w:r>
        <w:rPr>
          <w:rFonts w:hint="eastAsia" w:ascii="Times New Roman" w:hAnsi="Times New Roman" w:eastAsia="仿宋_GB2312" w:cs="Times New Roman"/>
          <w:color w:val="auto"/>
          <w:sz w:val="32"/>
          <w:szCs w:val="32"/>
          <w:highlight w:val="none"/>
          <w:lang w:val="en-US" w:eastAsia="zh-CN"/>
        </w:rPr>
        <w:t>3.8</w:t>
      </w:r>
      <w:r>
        <w:rPr>
          <w:rFonts w:ascii="Times New Roman" w:hAnsi="Times New Roman" w:eastAsia="仿宋_GB2312" w:cs="Times New Roman"/>
          <w:color w:val="auto"/>
          <w:sz w:val="32"/>
          <w:szCs w:val="32"/>
          <w:highlight w:val="none"/>
        </w:rPr>
        <w:t>万元)；公务接待费</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rPr>
        <w:t>其中，</w:t>
      </w:r>
      <w:r>
        <w:rPr>
          <w:rFonts w:ascii="Times New Roman" w:hAnsi="Times New Roman" w:eastAsia="仿宋_GB2312" w:cs="Times New Roman"/>
          <w:color w:val="auto"/>
          <w:sz w:val="32"/>
          <w:szCs w:val="32"/>
          <w:highlight w:val="none"/>
        </w:rPr>
        <w:t>公务用车购置及运维费减</w:t>
      </w:r>
      <w:r>
        <w:rPr>
          <w:rFonts w:hint="eastAsia" w:ascii="Times New Roman" w:hAnsi="Times New Roman" w:eastAsia="仿宋_GB2312" w:cs="Times New Roman"/>
          <w:color w:val="auto"/>
          <w:sz w:val="32"/>
          <w:szCs w:val="32"/>
          <w:highlight w:val="none"/>
        </w:rPr>
        <w:t>少</w:t>
      </w:r>
      <w:r>
        <w:rPr>
          <w:rFonts w:ascii="Times New Roman" w:hAnsi="Times New Roman" w:eastAsia="仿宋_GB2312" w:cs="Times New Roman"/>
          <w:color w:val="auto"/>
          <w:sz w:val="32"/>
          <w:szCs w:val="32"/>
          <w:highlight w:val="none"/>
        </w:rPr>
        <w:t>。。。。万元（其中：公务用车购置费增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万元，公务用车运维费减</w:t>
      </w:r>
      <w:r>
        <w:rPr>
          <w:rFonts w:hint="eastAsia" w:ascii="Times New Roman" w:hAnsi="Times New Roman" w:eastAsia="仿宋_GB2312" w:cs="Times New Roman"/>
          <w:color w:val="auto"/>
          <w:sz w:val="32"/>
          <w:szCs w:val="32"/>
          <w:highlight w:val="none"/>
        </w:rPr>
        <w:t>少</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rPr>
        <w:t>我单位切实落实勤俭节约各项规定，压减公车运行经费支出</w:t>
      </w:r>
      <w:r>
        <w:rPr>
          <w:rFonts w:ascii="Times New Roman" w:hAnsi="Times New Roman" w:eastAsia="仿宋_GB2312" w:cs="Times New Roman"/>
          <w:color w:val="auto"/>
          <w:sz w:val="32"/>
          <w:szCs w:val="32"/>
          <w:highlight w:val="none"/>
        </w:rPr>
        <w:t>；公务接待费</w:t>
      </w:r>
      <w:r>
        <w:rPr>
          <w:rFonts w:hint="eastAsia" w:ascii="Times New Roman" w:hAnsi="Times New Roman" w:eastAsia="仿宋_GB2312" w:cs="Times New Roman"/>
          <w:color w:val="auto"/>
          <w:sz w:val="32"/>
          <w:szCs w:val="32"/>
          <w:highlight w:val="none"/>
          <w:lang w:val="en-US" w:eastAsia="zh-CN"/>
        </w:rPr>
        <w:t>0</w:t>
      </w:r>
      <w:r>
        <w:rPr>
          <w:rFonts w:ascii="Times New Roman" w:hAnsi="Times New Roman" w:eastAsia="仿宋_GB2312" w:cs="Times New Roman"/>
          <w:color w:val="auto"/>
          <w:sz w:val="32"/>
          <w:szCs w:val="32"/>
          <w:highlight w:val="none"/>
        </w:rPr>
        <w:t>万元</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年相比持平，无增减变化。</w:t>
      </w: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highlight w:val="none"/>
          <w:lang w:eastAsia="zh-CN"/>
        </w:rPr>
      </w:pPr>
    </w:p>
    <w:p>
      <w:pPr>
        <w:numPr>
          <w:ilvl w:val="0"/>
          <w:numId w:val="0"/>
        </w:numPr>
        <w:spacing w:line="584" w:lineRule="exact"/>
        <w:ind w:firstLine="640" w:firstLineChars="200"/>
        <w:rPr>
          <w:rFonts w:hint="eastAsia" w:ascii="仿宋_GB2312" w:eastAsia="仿宋_GB2312"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五、</w:t>
      </w:r>
      <w:r>
        <w:rPr>
          <w:rFonts w:ascii="Times New Roman" w:hAnsi="Times New Roman" w:eastAsia="黑体" w:cs="Times New Roman"/>
          <w:color w:val="auto"/>
          <w:sz w:val="32"/>
          <w:szCs w:val="32"/>
          <w:highlight w:val="none"/>
        </w:rPr>
        <w:t>绩效预算信息</w:t>
      </w:r>
      <w:r>
        <w:rPr>
          <w:rFonts w:hint="eastAsia" w:ascii="仿宋_GB2312" w:eastAsia="仿宋_GB2312" w:cs="Times New Roman"/>
          <w:color w:val="auto"/>
          <w:sz w:val="32"/>
          <w:szCs w:val="32"/>
          <w:highlight w:val="none"/>
        </w:rPr>
        <w:t>（与单位绩效文本内容保持一致）</w:t>
      </w:r>
    </w:p>
    <w:p>
      <w:pPr>
        <w:jc w:val="center"/>
        <w:rPr>
          <w:highlight w:val="none"/>
        </w:rPr>
      </w:pPr>
    </w:p>
    <w:p>
      <w:pPr>
        <w:ind w:firstLine="562" w:firstLineChars="200"/>
        <w:jc w:val="left"/>
        <w:outlineLvl w:val="3"/>
        <w:rPr>
          <w:rFonts w:ascii="Times New Roman" w:hAnsi="宋体"/>
          <w:b/>
          <w:sz w:val="28"/>
          <w:highlight w:val="none"/>
        </w:rPr>
      </w:pPr>
      <w:bookmarkStart w:id="0" w:name="_Toc71796474"/>
      <w:r>
        <w:rPr>
          <w:rFonts w:hint="eastAsia" w:ascii="方正仿宋_GBK" w:eastAsia="方正仿宋_GBK"/>
          <w:b/>
          <w:sz w:val="28"/>
          <w:highlight w:val="none"/>
        </w:rPr>
        <w:t>1.农村危房改造经费绩效目标表</w:t>
      </w:r>
      <w:bookmarkEnd w:id="0"/>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1、农村危房改造经费绩效目标表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131024212AGUGKRSRLI66</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农村危房改造经费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用于支付农村危房改造费用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有效提升服务对象满意度</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符合条件的农户应帮尽帮</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补助率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符合条件农户补助率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8</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帮扶率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帮扶率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headerReference r:id="rId3" w:type="default"/>
          <w:footerReference r:id="rId4" w:type="default"/>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 w:name="_Toc71796475"/>
      <w:r>
        <w:rPr>
          <w:rFonts w:hint="eastAsia" w:ascii="方正仿宋_GBK" w:eastAsia="方正仿宋_GBK"/>
          <w:b/>
          <w:sz w:val="28"/>
          <w:highlight w:val="none"/>
        </w:rPr>
        <w:t>2.夏季防汛物资储备经费绩效目标表</w:t>
      </w:r>
      <w:bookmarkEnd w:id="1"/>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2、夏季防汛物资储备经费绩效目标表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131024212ZLTAIGL5PYP6</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夏季防汛物资储备经费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用于进行夏季防汛演练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高质量完成防汛演练</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提高参与演练的群众满意度</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参与人数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参与演练群众人数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20</w:t>
            </w:r>
            <w:r>
              <w:rPr>
                <w:rFonts w:hint="eastAsia" w:ascii="方正书宋_GBK" w:eastAsia="方正书宋_GBK"/>
                <w:highlight w:val="none"/>
              </w:rPr>
              <w:t>人</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1.5</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群众了解率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群众了解率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 w:name="_Toc71796476"/>
      <w:r>
        <w:rPr>
          <w:rFonts w:hint="eastAsia" w:ascii="方正仿宋_GBK" w:eastAsia="方正仿宋_GBK"/>
          <w:b/>
          <w:sz w:val="28"/>
          <w:highlight w:val="none"/>
        </w:rPr>
        <w:t>3.农村贫困户补助经费绩效目标表</w:t>
      </w:r>
      <w:bookmarkEnd w:id="2"/>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3、农村贫困户补助经费绩效目标表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131024216F03ZY5QABFUW</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农村贫困户补助经费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6.00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6.00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用于支付农村困难群众补助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有效提升服务对象满意度</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及时支付相关费用</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26</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6</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群众保障率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群众保障率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3" w:name="_Toc71796477"/>
      <w:r>
        <w:rPr>
          <w:rFonts w:hint="eastAsia" w:ascii="方正仿宋_GBK" w:eastAsia="方正仿宋_GBK"/>
          <w:b/>
          <w:sz w:val="28"/>
          <w:highlight w:val="none"/>
        </w:rPr>
        <w:t>4.村街（社区）“两委”干部补贴绩效目标表</w:t>
      </w:r>
      <w:bookmarkEnd w:id="3"/>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4、村街（社区）\“两委\”干部补贴绩效目标表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1310242186NXCL4A4Q9OP</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村街（社区）</w:t>
            </w:r>
            <w:r>
              <w:rPr>
                <w:rFonts w:hint="cs" w:ascii="方正书宋_GBK" w:eastAsia="方正书宋_GBK"/>
                <w:highlight w:val="none"/>
              </w:rPr>
              <w:t>“</w:t>
            </w:r>
            <w:r>
              <w:rPr>
                <w:rFonts w:hint="eastAsia" w:ascii="方正书宋_GBK" w:eastAsia="方正书宋_GBK"/>
                <w:highlight w:val="none"/>
              </w:rPr>
              <w:t>两委</w:t>
            </w:r>
            <w:r>
              <w:rPr>
                <w:rFonts w:hint="cs" w:ascii="方正书宋_GBK" w:eastAsia="方正书宋_GBK"/>
                <w:highlight w:val="none"/>
              </w:rPr>
              <w:t>”</w:t>
            </w:r>
            <w:r>
              <w:rPr>
                <w:rFonts w:hint="eastAsia" w:ascii="方正书宋_GBK" w:eastAsia="方正书宋_GBK"/>
                <w:highlight w:val="none"/>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16.90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16.90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用于支付村街两委干部工资及年底绩效等资金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足额保障村街两委干部工资及年底绩效等资金</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及时支付村街两委干部工资及年底绩效等资金</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16.9</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促进社会和谐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促进社会和谐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4" w:name="_Toc71796478"/>
      <w:r>
        <w:rPr>
          <w:rFonts w:hint="eastAsia" w:ascii="方正仿宋_GBK" w:eastAsia="方正仿宋_GBK"/>
          <w:b/>
          <w:sz w:val="28"/>
          <w:highlight w:val="none"/>
        </w:rPr>
        <w:t>5.服务群众专项经费绩效目标表</w:t>
      </w:r>
      <w:bookmarkEnd w:id="4"/>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5、服务群众专项经费绩效目标表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131024218FE3QQXUREY6K</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341.50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341.50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用于支付服务村街群众的各项活动、项目款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科学高效的使用服务群众专项经费</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提高群众满意度</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341.5</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和谐度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社会和谐度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5" w:name="_Toc71796479"/>
      <w:r>
        <w:rPr>
          <w:rFonts w:hint="eastAsia" w:ascii="方正仿宋_GBK" w:eastAsia="方正仿宋_GBK"/>
          <w:b/>
          <w:sz w:val="28"/>
          <w:highlight w:val="none"/>
        </w:rPr>
        <w:t>6.安监办日常工作经费绩效目标表</w:t>
      </w:r>
      <w:bookmarkEnd w:id="5"/>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6、安监办日常工作经费绩效目标表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13102421AHMCG1EK2F8P2</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安监办日常工作经费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用于支付安监巡查等日常工作经费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有效提升服务对象满意度</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重点企业巡查率大于等于</w:t>
            </w:r>
            <w:r>
              <w:rPr>
                <w:rFonts w:ascii="方正书宋_GBK" w:eastAsia="方正书宋_GBK"/>
                <w:highlight w:val="none"/>
              </w:rPr>
              <w:t>90%</w:t>
            </w:r>
            <w:r>
              <w:rPr>
                <w:rFonts w:hint="eastAsia" w:ascii="方正书宋_GBK" w:eastAsia="方正书宋_GBK"/>
                <w:highlight w:val="none"/>
              </w:rPr>
              <w:t>为优</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重点企业巡查率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重点企业巡查率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5</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安全生产率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安全生产率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6" w:name="_Toc71796480"/>
      <w:r>
        <w:rPr>
          <w:rFonts w:hint="eastAsia" w:ascii="方正仿宋_GBK" w:eastAsia="方正仿宋_GBK"/>
          <w:b/>
          <w:sz w:val="28"/>
          <w:highlight w:val="none"/>
        </w:rPr>
        <w:t>7.团委日常工作经费绩效目标表</w:t>
      </w:r>
      <w:bookmarkEnd w:id="6"/>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7、团委日常工作经费绩效目标表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13102421B8ER0GIO6QIHB</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团委日常工作经费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用于支付团委日常办公费用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预算执行率达到较高水平</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资金支出进度良好</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服务村街个数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服务村街个数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26</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稳定度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青少年稳定度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持续时限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持续时限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7" w:name="_Toc71796481"/>
      <w:r>
        <w:rPr>
          <w:rFonts w:hint="eastAsia" w:ascii="方正仿宋_GBK" w:eastAsia="方正仿宋_GBK"/>
          <w:b/>
          <w:sz w:val="28"/>
          <w:highlight w:val="none"/>
        </w:rPr>
        <w:t>8.镇区办公经费绩效目标表</w:t>
      </w:r>
      <w:bookmarkEnd w:id="7"/>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8、镇区办公经费绩效目标表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13102421BGQ6OPGG3K88U</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镇区办公经费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hint="default" w:ascii="方正书宋_GBK" w:eastAsia="方正书宋_GBK"/>
                <w:highlight w:val="none"/>
                <w:lang w:val="en-US" w:eastAsia="zh-CN"/>
              </w:rPr>
            </w:pPr>
            <w:r>
              <w:rPr>
                <w:rFonts w:hint="eastAsia" w:ascii="方正书宋_GBK" w:eastAsia="方正书宋_GBK"/>
                <w:highlight w:val="none"/>
                <w:lang w:val="en-US" w:eastAsia="zh-CN"/>
              </w:rPr>
              <w:t>214.07</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hint="default" w:ascii="方正书宋_GBK" w:eastAsia="方正书宋_GBK"/>
                <w:highlight w:val="none"/>
                <w:lang w:val="en-US" w:eastAsia="zh-CN"/>
              </w:rPr>
            </w:pPr>
            <w:r>
              <w:rPr>
                <w:rFonts w:hint="eastAsia" w:ascii="方正书宋_GBK" w:eastAsia="方正书宋_GBK"/>
                <w:highlight w:val="none"/>
                <w:lang w:val="en-US" w:eastAsia="zh-CN"/>
              </w:rPr>
              <w:t>214.07</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用于保障机关正常运行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保障机关正常运行</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提高服务群众能力</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天数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正常运转天数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320</w:t>
            </w:r>
            <w:r>
              <w:rPr>
                <w:rFonts w:hint="eastAsia" w:ascii="方正书宋_GBK" w:eastAsia="方正书宋_GBK"/>
                <w:highlight w:val="none"/>
              </w:rPr>
              <w:t>天</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hint="eastAsia" w:ascii="方正书宋_GBK" w:eastAsia="方正书宋_GBK"/>
                <w:highlight w:val="none"/>
                <w:lang w:val="en-US" w:eastAsia="zh-CN"/>
              </w:rPr>
              <w:t>214.07</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群众事务办结率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群众事务办结率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8" w:name="_Toc71796482"/>
      <w:r>
        <w:rPr>
          <w:rFonts w:hint="eastAsia" w:ascii="方正仿宋_GBK" w:eastAsia="方正仿宋_GBK"/>
          <w:b/>
          <w:sz w:val="28"/>
          <w:highlight w:val="none"/>
        </w:rPr>
        <w:t>9.纪委日常工作经费绩效目标表</w:t>
      </w:r>
      <w:bookmarkEnd w:id="8"/>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9、纪委日常工作经费绩效目标表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13102421BKG1ZRRIN3G2U</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纪委日常工作经费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用于支付纪委日常工作日常办公费用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预算执行率达到较高水平</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资金支出进度良好</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服务村街个数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服务村街个数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26</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稳定度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社会稳定度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持续时限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持续时限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9" w:name="_Toc71796483"/>
      <w:r>
        <w:rPr>
          <w:rFonts w:hint="eastAsia" w:ascii="方正仿宋_GBK" w:eastAsia="方正仿宋_GBK"/>
          <w:b/>
          <w:sz w:val="28"/>
          <w:highlight w:val="none"/>
        </w:rPr>
        <w:t>10.大气污染防治资金绩效目标表</w:t>
      </w:r>
      <w:bookmarkEnd w:id="9"/>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10、大气污染防治资金绩效目标表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13102421BOKZHQGGWDXIG</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大气污染防治资金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104.00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104.00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用于大气污染防治工作</w:t>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p>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高质量完成大气污染防治</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提高群众满意度</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天数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大气污染防治正常运转天数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320</w:t>
            </w:r>
            <w:r>
              <w:rPr>
                <w:rFonts w:hint="eastAsia" w:ascii="方正书宋_GBK" w:eastAsia="方正书宋_GBK"/>
                <w:highlight w:val="none"/>
              </w:rPr>
              <w:t>天</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210</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大气改善度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大气改善度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0" w:name="_Toc71796484"/>
      <w:r>
        <w:rPr>
          <w:rFonts w:hint="eastAsia" w:ascii="方正仿宋_GBK" w:eastAsia="方正仿宋_GBK"/>
          <w:b/>
          <w:sz w:val="28"/>
          <w:highlight w:val="none"/>
        </w:rPr>
        <w:t>11.公务用车运行维护经费绩效目标表</w:t>
      </w:r>
      <w:bookmarkEnd w:id="10"/>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11、公务用车运行维护经费绩效目标表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13102421DNZNB819X2M8B</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公务用车运行维护经费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3.80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3.80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用于支付办公用车运行维护费，保障公务用车正常运行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科学高效的使用办公用车运行维护费</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及时支付办公用车运行维护费</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天数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公车正常运行天数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320</w:t>
            </w:r>
            <w:r>
              <w:rPr>
                <w:rFonts w:hint="eastAsia" w:ascii="方正书宋_GBK" w:eastAsia="方正书宋_GBK"/>
                <w:highlight w:val="none"/>
              </w:rPr>
              <w:t>天</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3.8</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保证工作正常开展</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保证工作正常开展率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1" w:name="_Toc71796485"/>
      <w:r>
        <w:rPr>
          <w:rFonts w:hint="eastAsia" w:ascii="方正仿宋_GBK" w:eastAsia="方正仿宋_GBK"/>
          <w:b/>
          <w:sz w:val="28"/>
          <w:highlight w:val="none"/>
        </w:rPr>
        <w:t>12.镇志编辑经费绩效目标表</w:t>
      </w:r>
      <w:bookmarkEnd w:id="11"/>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12、镇志编辑经费绩效目标表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13102421EDHMNQ39AXLFH</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镇志编辑经费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40.00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40.00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用于支付镇志编辑费用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优质、高效完成镇志编辑工作</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按时支付费用</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村街数量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涵盖村街数量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40</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了解度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群众对镇区历史了解度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80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2" w:name="_Toc71796486"/>
      <w:r>
        <w:rPr>
          <w:rFonts w:hint="eastAsia" w:ascii="方正仿宋_GBK" w:eastAsia="方正仿宋_GBK"/>
          <w:b/>
          <w:sz w:val="28"/>
          <w:highlight w:val="none"/>
        </w:rPr>
        <w:t>13.香安城社区便民服务中心办公楼装修工程资金（本级）绩效目标表</w:t>
      </w:r>
      <w:bookmarkEnd w:id="12"/>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13、香安城社区便民服务中心办公楼装修工程资金（本级）绩效目标表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13102421G2PQOYHQ6TX3E</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香安城社区便民服务中心办公楼装修工程资金（本级）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97.82</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97.82</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用于支付香安城社区便民服务中心办公楼装修费用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确保香安城社区群众办事方便，群众满意度提高的达成</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及时支付装修工程款</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工程量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装修工程量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2900</w:t>
            </w:r>
            <w:r>
              <w:rPr>
                <w:rFonts w:hint="eastAsia" w:ascii="方正书宋_GBK" w:eastAsia="方正书宋_GBK"/>
                <w:highlight w:val="none"/>
              </w:rPr>
              <w:t>平方米</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合格率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工程验收合格率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工程验收时间</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工程成本</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工程单位建设成本</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97.82</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综合利用率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装修工程综合利用率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年</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3" w:name="_Toc71796487"/>
      <w:r>
        <w:rPr>
          <w:rFonts w:hint="eastAsia" w:ascii="方正仿宋_GBK" w:eastAsia="方正仿宋_GBK"/>
          <w:b/>
          <w:sz w:val="28"/>
          <w:highlight w:val="none"/>
        </w:rPr>
        <w:t>14.乡镇工作补贴绩效目标表</w:t>
      </w:r>
      <w:bookmarkEnd w:id="13"/>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14、乡镇工作补贴绩效目标表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13102421GI3V2FTRP3SYK</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乡镇工作补贴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106.00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106.00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用于支付机关工作人员乡镇补贴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达到较高的预算执行率</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按时支付人员补贴</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天数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下村工作天数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110</w:t>
            </w:r>
            <w:r>
              <w:rPr>
                <w:rFonts w:hint="eastAsia" w:ascii="方正书宋_GBK" w:eastAsia="方正书宋_GBK"/>
                <w:highlight w:val="none"/>
              </w:rPr>
              <w:t>天</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106</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群众事务办结及时率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4" w:name="_Toc71796488"/>
      <w:r>
        <w:rPr>
          <w:rFonts w:hint="eastAsia" w:ascii="方正仿宋_GBK" w:eastAsia="方正仿宋_GBK"/>
          <w:b/>
          <w:sz w:val="28"/>
          <w:highlight w:val="none"/>
        </w:rPr>
        <w:t>15.小学日常工作经费绩效目标表</w:t>
      </w:r>
      <w:bookmarkEnd w:id="14"/>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15、小学日常工作经费绩效目标表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13102421I9AX0YSGRQR8G</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小学日常工作经费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hint="default" w:ascii="方正书宋_GBK" w:eastAsia="方正书宋_GBK"/>
                <w:highlight w:val="none"/>
                <w:lang w:val="en-US" w:eastAsia="zh-CN"/>
              </w:rPr>
            </w:pPr>
            <w:r>
              <w:rPr>
                <w:rFonts w:hint="eastAsia" w:ascii="方正书宋_GBK" w:eastAsia="方正书宋_GBK"/>
                <w:highlight w:val="none"/>
                <w:lang w:val="en-US" w:eastAsia="zh-CN"/>
              </w:rPr>
              <w:t>10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hint="default" w:ascii="方正书宋_GBK" w:eastAsia="方正书宋_GBK"/>
                <w:highlight w:val="none"/>
                <w:lang w:val="en-US" w:eastAsia="zh-CN"/>
              </w:rPr>
            </w:pPr>
            <w:r>
              <w:rPr>
                <w:rFonts w:hint="eastAsia" w:ascii="方正书宋_GBK" w:eastAsia="方正书宋_GBK"/>
                <w:highlight w:val="none"/>
                <w:lang w:val="en-US" w:eastAsia="zh-CN"/>
              </w:rPr>
              <w:t>10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用于支付小学日常工作日常办公费用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预算执行率达到较高水平</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资金支出进度良好</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服务村街个数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服务村街个数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26</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hint="eastAsia" w:ascii="方正书宋_GBK" w:eastAsia="方正书宋_GBK"/>
                <w:highlight w:val="none"/>
                <w:lang w:val="en-US" w:eastAsia="zh-CN"/>
              </w:rPr>
              <w:t>10</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稳定度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社会稳定度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持续时限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持续时限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学生满意度指标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学生满意度指标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5" w:name="_Toc71796489"/>
      <w:r>
        <w:rPr>
          <w:rFonts w:hint="eastAsia" w:ascii="方正仿宋_GBK" w:eastAsia="方正仿宋_GBK"/>
          <w:b/>
          <w:sz w:val="28"/>
          <w:highlight w:val="none"/>
        </w:rPr>
        <w:t>16.基层人大代表活动经费绩效目标表</w:t>
      </w:r>
      <w:bookmarkEnd w:id="15"/>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16、基层人大代表活动经费绩效目标表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13102421KYY13QYA5053F</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基层人大代表活动经费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6.00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6.00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用于支付基层人大活动经费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足额保障基层人大活动经费</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及时支付基层人大活动经费</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村街个数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服务村街个数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我镇村街个数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奖励资金到位率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到位率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6</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回复率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群众反映事件回复率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6" w:name="_Toc71796490"/>
      <w:r>
        <w:rPr>
          <w:rFonts w:hint="eastAsia" w:ascii="方正仿宋_GBK" w:eastAsia="方正仿宋_GBK"/>
          <w:b/>
          <w:sz w:val="28"/>
          <w:highlight w:val="none"/>
        </w:rPr>
        <w:t>17.新冠防疫经费绩效目标表</w:t>
      </w:r>
      <w:bookmarkEnd w:id="16"/>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17、新冠防疫经费绩效目标表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13102421LDTO53A9CCDD9</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新冠防疫经费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用于支付新冠疫情常态化防控经费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有效提高群众满意度</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达到较高的预算执行率</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物资保障率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物资保障率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7" w:name="_Toc71796491"/>
      <w:r>
        <w:rPr>
          <w:rFonts w:hint="eastAsia" w:ascii="方正仿宋_GBK" w:eastAsia="方正仿宋_GBK"/>
          <w:b/>
          <w:sz w:val="28"/>
          <w:highlight w:val="none"/>
        </w:rPr>
        <w:t>18.村级支出经费绩效目标表</w:t>
      </w:r>
      <w:bookmarkEnd w:id="17"/>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18、村级支出经费绩效目标表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13102421LLD72HHXKQXOM</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村级支出经费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用于支付村级办公等支出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有效提高群众满意度</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达到较高的预算执行率</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村街数量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117</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及时率村街</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村街事务办结及时率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8" w:name="_Toc71796492"/>
      <w:r>
        <w:rPr>
          <w:rFonts w:hint="eastAsia" w:ascii="方正仿宋_GBK" w:eastAsia="方正仿宋_GBK"/>
          <w:b/>
          <w:sz w:val="28"/>
          <w:highlight w:val="none"/>
        </w:rPr>
        <w:t>19.村街（社区）“两委”干部补贴绩效目标表</w:t>
      </w:r>
      <w:bookmarkEnd w:id="18"/>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19、村街（社区）\“两委\”干部补贴绩效目标表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13102421M3ER2YZ3PHKFV</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村街（社区）</w:t>
            </w:r>
            <w:r>
              <w:rPr>
                <w:rFonts w:hint="cs" w:ascii="方正书宋_GBK" w:eastAsia="方正书宋_GBK"/>
                <w:highlight w:val="none"/>
              </w:rPr>
              <w:t>“</w:t>
            </w:r>
            <w:r>
              <w:rPr>
                <w:rFonts w:hint="eastAsia" w:ascii="方正书宋_GBK" w:eastAsia="方正书宋_GBK"/>
                <w:highlight w:val="none"/>
              </w:rPr>
              <w:t>两委</w:t>
            </w:r>
            <w:r>
              <w:rPr>
                <w:rFonts w:hint="cs" w:ascii="方正书宋_GBK" w:eastAsia="方正书宋_GBK"/>
                <w:highlight w:val="none"/>
              </w:rPr>
              <w:t>”</w:t>
            </w:r>
            <w:r>
              <w:rPr>
                <w:rFonts w:hint="eastAsia" w:ascii="方正书宋_GBK" w:eastAsia="方正书宋_GBK"/>
                <w:highlight w:val="none"/>
              </w:rPr>
              <w:t>干部补贴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258.10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258.10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用于支付村街两委干部工资及年底绩效等资金</w:t>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p>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足额保障村街两委干部工资及年底绩效等资金</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及时支付村街两委干部工资及年底绩效等资金</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258.1</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促进社会和谐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促进社会和谐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19" w:name="_Toc71796493"/>
      <w:r>
        <w:rPr>
          <w:rFonts w:hint="eastAsia" w:ascii="方正仿宋_GBK" w:eastAsia="方正仿宋_GBK"/>
          <w:b/>
          <w:sz w:val="28"/>
          <w:highlight w:val="none"/>
        </w:rPr>
        <w:t>20.北运河龙凤碱河污水处理工程及设备采购资金(本级)绩效目标表</w:t>
      </w:r>
      <w:bookmarkEnd w:id="19"/>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20、北运河龙凤碱河污水处理工程及设备采购资金(本级)绩效目标表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13102421MHFBF17U2WAKY</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北运河龙凤碱河污水处理工程及设备采购资金</w:t>
            </w:r>
            <w:r>
              <w:rPr>
                <w:rFonts w:ascii="方正书宋_GBK" w:eastAsia="方正书宋_GBK"/>
                <w:highlight w:val="none"/>
              </w:rPr>
              <w:t>(</w:t>
            </w:r>
            <w:r>
              <w:rPr>
                <w:rFonts w:hint="eastAsia" w:ascii="方正书宋_GBK" w:eastAsia="方正书宋_GBK"/>
                <w:highlight w:val="none"/>
              </w:rPr>
              <w:t>本级</w:t>
            </w:r>
            <w:r>
              <w:rPr>
                <w:rFonts w:ascii="方正书宋_GBK" w:eastAsia="方正书宋_GBK"/>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31.71</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31.71</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用于支付龙凤减河污水处理工程及设备采购资金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有效提高龙凤减河水质</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群众满意度提升</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采购污水设备数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采购污水设备数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台</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验收合格率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工程验收合格率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验收记录、报告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验收合格率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设备验收合格率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验收记录、报告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工程完成时间</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工程成本</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工程单位建设成本</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31.71</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利用率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设备综合利用率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验收记录、报告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生态效益指标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提高龙凤减河水质</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提高龙凤减河水质</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w:t>
            </w:r>
            <w:r>
              <w:rPr>
                <w:rFonts w:hint="eastAsia" w:ascii="方正书宋_GBK" w:eastAsia="方正书宋_GBK"/>
                <w:highlight w:val="none"/>
              </w:rPr>
              <w:t>级</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地表水质环境标准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持续时长</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项目持续发挥作用的期限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年</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周边群众满意度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周边群众满意度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验收记录、报告</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0" w:name="_Toc71796494"/>
      <w:r>
        <w:rPr>
          <w:rFonts w:hint="eastAsia" w:ascii="方正仿宋_GBK" w:eastAsia="方正仿宋_GBK"/>
          <w:b/>
          <w:sz w:val="28"/>
          <w:highlight w:val="none"/>
        </w:rPr>
        <w:t>21.新冠疫情防控资金绩效目标表</w:t>
      </w:r>
      <w:bookmarkEnd w:id="20"/>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21、新冠疫情防控资金绩效目标表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13102421NP90L81AE4I3P</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新冠疫情防控资金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用于村街疫情防控资金</w:t>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p>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有效提高群众满意度</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达到较高的预算执行率</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30</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物资保障率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物资保障率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1" w:name="_Toc71796495"/>
      <w:r>
        <w:rPr>
          <w:rFonts w:hint="eastAsia" w:ascii="方正仿宋_GBK" w:eastAsia="方正仿宋_GBK"/>
          <w:b/>
          <w:sz w:val="28"/>
          <w:highlight w:val="none"/>
        </w:rPr>
        <w:t>22.村庄国土空间规划编制项目资金（本级）绩效目标表</w:t>
      </w:r>
      <w:bookmarkEnd w:id="21"/>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22、村庄国土空间规划编制项目资金（本级）绩效目标表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13102421PQN7SA8320GRU</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村庄国土空间规划编制项目资金（本级）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61.50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61.50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用于支付国土空间规划编制项目费用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达到较高的预算执行率</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按时支付费用</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村街数量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涵盖村街数量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29</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61.5</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了解度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镇区国土空间了解度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80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2" w:name="_Toc71796496"/>
      <w:r>
        <w:rPr>
          <w:rFonts w:hint="eastAsia" w:ascii="方正仿宋_GBK" w:eastAsia="方正仿宋_GBK"/>
          <w:b/>
          <w:sz w:val="28"/>
          <w:highlight w:val="none"/>
        </w:rPr>
        <w:t>23.一至六级伤残军人医疗补助绩效目标表</w:t>
      </w:r>
      <w:bookmarkEnd w:id="22"/>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23、一至六级伤残军人医疗补助绩效目标表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13102421QC97D1LGDS0TP</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一至六级伤残军人医疗补助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4.00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4.00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用于支付伤残军人医疗费用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足额保障伤残军人医疗补助</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及时支付伤残军人医疗补助</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发放人数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伤残抚恤金发放人数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人</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我镇一到六级伤残人数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奖励资金到位率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到位率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支付的医疗补助金额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4</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社会和谐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伤残军人保障生活，权益得到保障，关系到社会稳定和谐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100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3" w:name="_Toc71796497"/>
      <w:r>
        <w:rPr>
          <w:rFonts w:hint="eastAsia" w:ascii="方正仿宋_GBK" w:eastAsia="方正仿宋_GBK"/>
          <w:b/>
          <w:sz w:val="28"/>
          <w:highlight w:val="none"/>
        </w:rPr>
        <w:t>24.镇办公环境大型修缮资金绩效目标表</w:t>
      </w:r>
      <w:bookmarkEnd w:id="23"/>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24、镇办公环境大型修缮资金绩效目标表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13102421RDNUPO02G5V0G</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镇办公环境大型修缮资金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150.00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150.00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用于支付办公环境修缮费用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有效提升群众和满意度</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按时支付费用</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装修场所</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装修场所数量</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150</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办结率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群众事务办结率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80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群众满意度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4" w:name="_Toc71796498"/>
      <w:r>
        <w:rPr>
          <w:rFonts w:hint="eastAsia" w:ascii="方正仿宋_GBK" w:eastAsia="方正仿宋_GBK"/>
          <w:b/>
          <w:sz w:val="28"/>
          <w:highlight w:val="none"/>
        </w:rPr>
        <w:t>25.基层民兵日常训练经费绩效目标表</w:t>
      </w:r>
      <w:bookmarkEnd w:id="24"/>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25、基层民兵日常训练经费绩效目标表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13102421RGEASX36SILSH</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基层民兵日常训练经费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用于支付民兵训练等经费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预算执行率达到较高水平</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资金支出进度良好</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训练次数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训练次数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5</w:t>
            </w:r>
            <w:r>
              <w:rPr>
                <w:rFonts w:hint="eastAsia" w:ascii="方正书宋_GBK" w:eastAsia="方正书宋_GBK"/>
                <w:highlight w:val="none"/>
              </w:rPr>
              <w:t>次</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5</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稳定度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社会稳定度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持续时限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持续时限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5" w:name="_Toc71796499"/>
      <w:r>
        <w:rPr>
          <w:rFonts w:hint="eastAsia" w:ascii="方正仿宋_GBK" w:eastAsia="方正仿宋_GBK"/>
          <w:b/>
          <w:sz w:val="28"/>
          <w:highlight w:val="none"/>
        </w:rPr>
        <w:t>26.北运河旅游通航工程占地补偿款绩效目标表</w:t>
      </w:r>
      <w:bookmarkEnd w:id="25"/>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26、北运河旅游通航工程占地补偿款绩效目标表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13102421SMGVT8RXNX9UA</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北运河旅游通航工程占地补偿款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1000.00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1000.00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资金退还交通局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做好工作交接</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加快资金支出</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支出笔数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支出笔数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次数</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6</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1000</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稳定度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社会稳定度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持续时限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持续时限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6" w:name="_Toc71796500"/>
      <w:r>
        <w:rPr>
          <w:rFonts w:hint="eastAsia" w:ascii="方正仿宋_GBK" w:eastAsia="方正仿宋_GBK"/>
          <w:b/>
          <w:sz w:val="28"/>
          <w:highlight w:val="none"/>
        </w:rPr>
        <w:t>27.鲁家务 安运码头占地地上物补偿款绩效目标表</w:t>
      </w:r>
      <w:bookmarkEnd w:id="26"/>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27、鲁家务 安运码头占地地上物补偿款绩效目标表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13102421UQO0UZ0GKQW40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鲁家务</w:t>
            </w:r>
            <w:r>
              <w:rPr>
                <w:rFonts w:ascii="方正书宋_GBK" w:eastAsia="方正书宋_GBK"/>
                <w:highlight w:val="none"/>
              </w:rPr>
              <w:t xml:space="preserve"> </w:t>
            </w:r>
            <w:r>
              <w:rPr>
                <w:rFonts w:hint="eastAsia" w:ascii="方正书宋_GBK" w:eastAsia="方正书宋_GBK"/>
                <w:highlight w:val="none"/>
              </w:rPr>
              <w:t>安运码头占地地上物补偿款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250.00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250.00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做好征地补偿工作</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加快资金支出</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征地亩数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征地亩数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62.5</w:t>
            </w:r>
            <w:r>
              <w:rPr>
                <w:rFonts w:hint="eastAsia" w:ascii="方正书宋_GBK" w:eastAsia="方正书宋_GBK"/>
                <w:highlight w:val="none"/>
              </w:rPr>
              <w:t>亩</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250</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稳定度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社会稳定度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持续时限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持续时限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7" w:name="_Toc71796501"/>
      <w:r>
        <w:rPr>
          <w:rFonts w:hint="eastAsia" w:ascii="方正仿宋_GBK" w:eastAsia="方正仿宋_GBK"/>
          <w:b/>
          <w:sz w:val="28"/>
          <w:highlight w:val="none"/>
        </w:rPr>
        <w:t>28.劳务费绩效目标表</w:t>
      </w:r>
      <w:bookmarkEnd w:id="27"/>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28、劳务费绩效目标表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13102421VUVU0LE7YG1F7</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用于支付临时工劳务费</w:t>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r>
              <w:rPr>
                <w:rFonts w:ascii="方正书宋_GBK" w:eastAsia="方正书宋_GBK"/>
                <w:highlight w:val="none"/>
              </w:rPr>
              <w:tab/>
            </w:r>
          </w:p>
          <w:p>
            <w:pPr>
              <w:spacing w:line="300" w:lineRule="exact"/>
              <w:jc w:val="left"/>
              <w:rPr>
                <w:rFonts w:ascii="方正书宋_GBK" w:eastAsia="方正书宋_GBK"/>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足额保障伤残军人医疗补助</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及时支付伤残军人医疗补助</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支付人数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支付临时工人数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50</w:t>
            </w:r>
            <w:r>
              <w:rPr>
                <w:rFonts w:hint="eastAsia" w:ascii="方正书宋_GBK" w:eastAsia="方正书宋_GBK"/>
                <w:highlight w:val="none"/>
              </w:rPr>
              <w:t>人</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到位率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到位率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300</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新增人数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新增就业人数</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人</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8" w:name="_Toc71796502"/>
      <w:r>
        <w:rPr>
          <w:rFonts w:hint="eastAsia" w:ascii="方正仿宋_GBK" w:eastAsia="方正仿宋_GBK"/>
          <w:b/>
          <w:sz w:val="28"/>
          <w:highlight w:val="none"/>
        </w:rPr>
        <w:t>29.土地补偿款绩效目标表</w:t>
      </w:r>
      <w:bookmarkEnd w:id="28"/>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29、土地补偿款绩效目标表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13102421W7ZS82HD2R8KZ</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5100.00</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5100.00</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提高效率，提前完成征地工作</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加快预算支出</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征地数</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完成征地数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450</w:t>
            </w:r>
            <w:r>
              <w:rPr>
                <w:rFonts w:hint="eastAsia" w:ascii="方正书宋_GBK" w:eastAsia="方正书宋_GBK"/>
                <w:highlight w:val="none"/>
              </w:rPr>
              <w:t>亩</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完成提前时间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完成时间比入场施工提前时间</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征地完成时间</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征地成本</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征地成本</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97.82</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稳定率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社会稳定率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持续时限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持续时限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ind w:firstLine="562" w:firstLineChars="200"/>
        <w:jc w:val="left"/>
        <w:outlineLvl w:val="3"/>
        <w:rPr>
          <w:rFonts w:ascii="Times New Roman" w:hAnsi="宋体"/>
          <w:b/>
          <w:sz w:val="28"/>
          <w:highlight w:val="none"/>
        </w:rPr>
      </w:pPr>
      <w:bookmarkStart w:id="29" w:name="_Toc71796503"/>
      <w:r>
        <w:rPr>
          <w:rFonts w:hint="eastAsia" w:ascii="方正仿宋_GBK" w:eastAsia="方正仿宋_GBK"/>
          <w:b/>
          <w:sz w:val="28"/>
          <w:highlight w:val="none"/>
        </w:rPr>
        <w:t>30.民安北路修建工程资金（本级）绩效目标表</w:t>
      </w:r>
      <w:bookmarkEnd w:id="29"/>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30、民安北路修建工程资金（本级）绩效目标表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13102421XXQ8HO2K5P22W</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民安北路修建工程资金（本级）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61.81</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61.81</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用于支付民安北路修建工程资金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center"/>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按期完成道路竣工验收</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群众满意度提升</w:t>
            </w:r>
          </w:p>
        </w:tc>
      </w:tr>
    </w:tbl>
    <w:p>
      <w:pPr>
        <w:spacing w:line="14" w:lineRule="exact"/>
        <w:jc w:val="center"/>
        <w:rPr>
          <w:rFonts w:ascii="Times New Roman" w:hAnsi="宋体"/>
          <w:highlight w:val="none"/>
        </w:rPr>
      </w:pPr>
      <w:r>
        <w:rPr>
          <w:rFonts w:ascii="方正书宋_GBK" w:eastAsia="方正书宋_GBK"/>
          <w:highlight w:val="none"/>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二级指标</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三级指标</w:t>
            </w:r>
          </w:p>
        </w:tc>
        <w:tc>
          <w:tcPr>
            <w:tcW w:w="289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绩效指标描述</w:t>
            </w:r>
          </w:p>
        </w:tc>
        <w:tc>
          <w:tcPr>
            <w:tcW w:w="1276"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w:t>
            </w:r>
          </w:p>
        </w:tc>
        <w:tc>
          <w:tcPr>
            <w:tcW w:w="1701" w:type="dxa"/>
            <w:shd w:val="clear" w:color="auto" w:fill="auto"/>
            <w:noWrap w:val="0"/>
            <w:vAlign w:val="center"/>
          </w:tcPr>
          <w:p>
            <w:pPr>
              <w:spacing w:line="300" w:lineRule="exact"/>
              <w:jc w:val="center"/>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唱独角戏</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道路长度</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684</w:t>
            </w:r>
            <w:r>
              <w:rPr>
                <w:rFonts w:hint="eastAsia" w:ascii="方正书宋_GBK" w:eastAsia="方正书宋_GBK"/>
                <w:highlight w:val="none"/>
              </w:rPr>
              <w:t>米</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通过率</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竣工验收通过率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完成时间</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项目竣工时间</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12</w:t>
            </w:r>
            <w:r>
              <w:rPr>
                <w:rFonts w:hint="eastAsia" w:ascii="方正书宋_GBK" w:eastAsia="方正书宋_GBK"/>
                <w:highlight w:val="none"/>
              </w:rPr>
              <w:t>月</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工程成本</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工程尾款成本</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61.81</w:t>
            </w:r>
            <w:r>
              <w:rPr>
                <w:rFonts w:hint="eastAsia" w:ascii="方正书宋_GBK" w:eastAsia="方正书宋_GBK"/>
                <w:highlight w:val="none"/>
              </w:rPr>
              <w:t>万元</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惠及片区</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交通改善惠及片区</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w:t>
            </w:r>
            <w:r>
              <w:rPr>
                <w:rFonts w:hint="eastAsia" w:ascii="方正书宋_GBK" w:eastAsia="方正书宋_GBK"/>
                <w:highlight w:val="none"/>
              </w:rPr>
              <w:t>个</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10</w:t>
            </w:r>
            <w:r>
              <w:rPr>
                <w:rFonts w:hint="eastAsia" w:ascii="方正书宋_GBK" w:eastAsia="方正书宋_GBK"/>
                <w:highlight w:val="none"/>
              </w:rPr>
              <w:t>年</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群众满意度</w:t>
            </w:r>
          </w:p>
        </w:tc>
        <w:tc>
          <w:tcPr>
            <w:tcW w:w="2891"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社区群众对道路的综合满意度</w:t>
            </w:r>
          </w:p>
        </w:tc>
        <w:tc>
          <w:tcPr>
            <w:tcW w:w="1276"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1"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问卷调查</w:t>
            </w:r>
          </w:p>
        </w:tc>
      </w:tr>
    </w:tbl>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spacing w:line="300" w:lineRule="exact"/>
        <w:jc w:val="left"/>
        <w:rPr>
          <w:highlight w:val="none"/>
        </w:rPr>
      </w:pPr>
    </w:p>
    <w:p>
      <w:pPr>
        <w:ind w:firstLine="562" w:firstLineChars="200"/>
        <w:jc w:val="left"/>
        <w:outlineLvl w:val="3"/>
        <w:rPr>
          <w:rFonts w:ascii="Times New Roman" w:hAnsi="宋体"/>
          <w:b/>
          <w:sz w:val="28"/>
          <w:highlight w:val="none"/>
        </w:rPr>
      </w:pPr>
      <w:r>
        <w:rPr>
          <w:rFonts w:hint="eastAsia" w:ascii="方正仿宋_GBK" w:eastAsia="方正仿宋_GBK"/>
          <w:b/>
          <w:sz w:val="28"/>
          <w:highlight w:val="none"/>
        </w:rPr>
        <w:t>31.办公环境改善经费绩效目标表</w:t>
      </w:r>
      <w:r>
        <w:rPr>
          <w:highlight w:val="none"/>
        </w:rPr>
        <w:fldChar w:fldCharType="begin"/>
      </w:r>
      <w:r>
        <w:rPr>
          <w:rFonts w:ascii="方正仿宋_GBK" w:eastAsia="方正仿宋_GBK"/>
          <w:b/>
          <w:sz w:val="28"/>
          <w:highlight w:val="none"/>
        </w:rPr>
        <w:instrText xml:space="preserve"> </w:instrText>
      </w:r>
      <w:r>
        <w:rPr>
          <w:rFonts w:hint="eastAsia" w:ascii="方正仿宋_GBK" w:eastAsia="方正仿宋_GBK"/>
          <w:b/>
          <w:sz w:val="28"/>
          <w:highlight w:val="none"/>
        </w:rPr>
        <w:instrText xml:space="preserve">TC 31、办公环境改善经费绩效目标表 \f C \l 1</w:instrText>
      </w:r>
      <w:r>
        <w:rPr>
          <w:rFonts w:ascii="方正仿宋_GBK" w:eastAsia="方正仿宋_GBK"/>
          <w:b/>
          <w:sz w:val="28"/>
          <w:highlight w:val="none"/>
        </w:rPr>
        <w:instrText xml:space="preserve"> </w:instrText>
      </w:r>
      <w:r>
        <w:rPr>
          <w:rFonts w:ascii="方正仿宋_GBK" w:eastAsia="方正仿宋_GBK"/>
          <w:b/>
          <w:sz w:val="28"/>
          <w:highlight w:val="none"/>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978001</w:t>
            </w:r>
            <w:r>
              <w:rPr>
                <w:rFonts w:hint="eastAsia" w:ascii="方正书宋_GBK" w:eastAsia="方正书宋_GBK"/>
                <w:b/>
                <w:highlight w:val="none"/>
              </w:rPr>
              <w:t>香河县安平镇人民政府本级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项目编码</w:t>
            </w:r>
          </w:p>
        </w:tc>
        <w:tc>
          <w:tcPr>
            <w:tcW w:w="2410" w:type="dxa"/>
            <w:gridSpan w:val="2"/>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13102421YSUYP2YMTR4TI</w:t>
            </w:r>
          </w:p>
        </w:tc>
        <w:tc>
          <w:tcPr>
            <w:tcW w:w="1587"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项目名称</w:t>
            </w:r>
          </w:p>
        </w:tc>
        <w:tc>
          <w:tcPr>
            <w:tcW w:w="4281" w:type="dxa"/>
            <w:gridSpan w:val="3"/>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办公环境改善经费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预算规模及资金用途</w:t>
            </w:r>
          </w:p>
        </w:tc>
        <w:tc>
          <w:tcPr>
            <w:tcW w:w="1134"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预算数</w:t>
            </w:r>
          </w:p>
        </w:tc>
        <w:tc>
          <w:tcPr>
            <w:tcW w:w="1276"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50.00</w:t>
            </w:r>
          </w:p>
        </w:tc>
        <w:tc>
          <w:tcPr>
            <w:tcW w:w="1587"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其中：财政资金</w:t>
            </w:r>
          </w:p>
        </w:tc>
        <w:tc>
          <w:tcPr>
            <w:tcW w:w="1304"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50.00</w:t>
            </w:r>
          </w:p>
        </w:tc>
        <w:tc>
          <w:tcPr>
            <w:tcW w:w="1276"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其他资金</w:t>
            </w:r>
          </w:p>
        </w:tc>
        <w:tc>
          <w:tcPr>
            <w:tcW w:w="1701" w:type="dxa"/>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highlight w:val="none"/>
              </w:rPr>
            </w:pPr>
          </w:p>
        </w:tc>
        <w:tc>
          <w:tcPr>
            <w:tcW w:w="8278" w:type="dxa"/>
            <w:gridSpan w:val="6"/>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用于支付办公环境提升费用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资金支出计划（</w:t>
            </w:r>
            <w:r>
              <w:rPr>
                <w:rFonts w:ascii="方正书宋_GBK" w:eastAsia="方正书宋_GBK"/>
                <w:b/>
                <w:highlight w:val="none"/>
              </w:rPr>
              <w:t>%</w:t>
            </w:r>
            <w:r>
              <w:rPr>
                <w:rFonts w:hint="eastAsia" w:ascii="方正书宋_GBK" w:eastAsia="方正书宋_GBK"/>
                <w:b/>
                <w:highlight w:val="none"/>
              </w:rPr>
              <w:t>）</w:t>
            </w:r>
          </w:p>
        </w:tc>
        <w:tc>
          <w:tcPr>
            <w:tcW w:w="2410" w:type="dxa"/>
            <w:gridSpan w:val="2"/>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3</w:t>
            </w:r>
            <w:r>
              <w:rPr>
                <w:rFonts w:hint="eastAsia" w:ascii="方正书宋_GBK" w:eastAsia="方正书宋_GBK"/>
                <w:b/>
                <w:highlight w:val="none"/>
              </w:rPr>
              <w:t>月底</w:t>
            </w:r>
          </w:p>
        </w:tc>
        <w:tc>
          <w:tcPr>
            <w:tcW w:w="1587" w:type="dxa"/>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6</w:t>
            </w:r>
            <w:r>
              <w:rPr>
                <w:rFonts w:hint="eastAsia" w:ascii="方正书宋_GBK" w:eastAsia="方正书宋_GBK"/>
                <w:b/>
                <w:highlight w:val="none"/>
              </w:rPr>
              <w:t>月底</w:t>
            </w:r>
          </w:p>
        </w:tc>
        <w:tc>
          <w:tcPr>
            <w:tcW w:w="1304" w:type="dxa"/>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10</w:t>
            </w:r>
            <w:r>
              <w:rPr>
                <w:rFonts w:hint="eastAsia" w:ascii="方正书宋_GBK" w:eastAsia="方正书宋_GBK"/>
                <w:b/>
                <w:highlight w:val="none"/>
              </w:rPr>
              <w:t>月底</w:t>
            </w:r>
          </w:p>
        </w:tc>
        <w:tc>
          <w:tcPr>
            <w:tcW w:w="2977" w:type="dxa"/>
            <w:gridSpan w:val="2"/>
            <w:shd w:val="clear" w:color="auto" w:fill="auto"/>
            <w:noWrap w:val="0"/>
            <w:vAlign w:val="center"/>
          </w:tcPr>
          <w:p>
            <w:pPr>
              <w:spacing w:line="300" w:lineRule="exact"/>
              <w:jc w:val="left"/>
              <w:rPr>
                <w:rFonts w:ascii="方正书宋_GBK" w:eastAsia="方正书宋_GBK"/>
                <w:b/>
                <w:highlight w:val="none"/>
              </w:rPr>
            </w:pPr>
            <w:r>
              <w:rPr>
                <w:rFonts w:ascii="方正书宋_GBK" w:eastAsia="方正书宋_GBK"/>
                <w:b/>
                <w:highlight w:val="none"/>
              </w:rPr>
              <w:t>12</w:t>
            </w:r>
            <w:r>
              <w:rPr>
                <w:rFonts w:hint="eastAsia" w:ascii="方正书宋_GBK" w:eastAsia="方正书宋_GBK"/>
                <w:b/>
                <w:highlight w:val="none"/>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highlight w:val="none"/>
              </w:rPr>
            </w:pPr>
          </w:p>
        </w:tc>
        <w:tc>
          <w:tcPr>
            <w:tcW w:w="2410" w:type="dxa"/>
            <w:gridSpan w:val="2"/>
            <w:tcBorders>
              <w:bottom w:val="single" w:color="000000" w:sz="6" w:space="0"/>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30.00%</w:t>
            </w:r>
          </w:p>
        </w:tc>
        <w:tc>
          <w:tcPr>
            <w:tcW w:w="1587" w:type="dxa"/>
            <w:tcBorders>
              <w:bottom w:val="single" w:color="000000" w:sz="6" w:space="0"/>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50.00%</w:t>
            </w:r>
          </w:p>
        </w:tc>
        <w:tc>
          <w:tcPr>
            <w:tcW w:w="1304" w:type="dxa"/>
            <w:tcBorders>
              <w:bottom w:val="single" w:color="000000" w:sz="6" w:space="0"/>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80.00%</w:t>
            </w:r>
          </w:p>
        </w:tc>
        <w:tc>
          <w:tcPr>
            <w:tcW w:w="2977" w:type="dxa"/>
            <w:gridSpan w:val="2"/>
            <w:tcBorders>
              <w:bottom w:val="single" w:color="000000" w:sz="6" w:space="0"/>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highlight w:val="none"/>
              </w:rPr>
            </w:pPr>
            <w:r>
              <w:rPr>
                <w:rFonts w:ascii="方正书宋_GBK" w:eastAsia="方正书宋_GBK"/>
                <w:highlight w:val="none"/>
              </w:rPr>
              <w:t>1.</w:t>
            </w:r>
            <w:r>
              <w:rPr>
                <w:rFonts w:hint="eastAsia" w:ascii="方正书宋_GBK" w:eastAsia="方正书宋_GBK"/>
                <w:highlight w:val="none"/>
              </w:rPr>
              <w:t>足额保障办公环境提升费用</w:t>
            </w:r>
          </w:p>
          <w:p>
            <w:pPr>
              <w:spacing w:line="300" w:lineRule="exact"/>
              <w:jc w:val="left"/>
              <w:rPr>
                <w:rFonts w:ascii="方正书宋_GBK" w:eastAsia="方正书宋_GBK"/>
                <w:highlight w:val="none"/>
              </w:rPr>
            </w:pPr>
            <w:r>
              <w:rPr>
                <w:rFonts w:ascii="方正书宋_GBK" w:eastAsia="方正书宋_GBK"/>
                <w:highlight w:val="none"/>
              </w:rPr>
              <w:t>2.</w:t>
            </w:r>
            <w:r>
              <w:rPr>
                <w:rFonts w:hint="eastAsia" w:ascii="方正书宋_GBK" w:eastAsia="方正书宋_GBK"/>
                <w:highlight w:val="none"/>
              </w:rPr>
              <w:t>及时支付办公环境提升费用</w:t>
            </w:r>
          </w:p>
        </w:tc>
      </w:tr>
    </w:tbl>
    <w:p>
      <w:pPr>
        <w:spacing w:line="14" w:lineRule="exact"/>
        <w:jc w:val="left"/>
        <w:rPr>
          <w:rFonts w:ascii="Times New Roman" w:hAnsi="宋体"/>
          <w:highlight w:val="none"/>
        </w:rPr>
      </w:pPr>
      <w:r>
        <w:rPr>
          <w:rFonts w:ascii="方正书宋_GBK" w:eastAsia="方正书宋_GBK"/>
          <w:highlight w:val="none"/>
        </w:rPr>
        <w:t xml:space="preserve"> </w:t>
      </w:r>
    </w:p>
    <w:tbl>
      <w:tblPr>
        <w:tblStyle w:val="8"/>
        <w:tblW w:w="94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7"/>
        <w:gridCol w:w="2893"/>
        <w:gridCol w:w="1277"/>
        <w:gridCol w:w="1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1" w:hRule="atLeast"/>
          <w:tblHeader/>
          <w:jc w:val="center"/>
        </w:trPr>
        <w:tc>
          <w:tcPr>
            <w:tcW w:w="1134"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一级指标</w:t>
            </w:r>
          </w:p>
        </w:tc>
        <w:tc>
          <w:tcPr>
            <w:tcW w:w="1134"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二级指标</w:t>
            </w:r>
          </w:p>
        </w:tc>
        <w:tc>
          <w:tcPr>
            <w:tcW w:w="1277"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三级指标</w:t>
            </w:r>
          </w:p>
        </w:tc>
        <w:tc>
          <w:tcPr>
            <w:tcW w:w="2893"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绩效指标描述</w:t>
            </w:r>
          </w:p>
        </w:tc>
        <w:tc>
          <w:tcPr>
            <w:tcW w:w="1277"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指标值</w:t>
            </w:r>
          </w:p>
        </w:tc>
        <w:tc>
          <w:tcPr>
            <w:tcW w:w="1702" w:type="dxa"/>
            <w:shd w:val="clear" w:color="auto" w:fill="auto"/>
            <w:noWrap w:val="0"/>
            <w:vAlign w:val="center"/>
          </w:tcPr>
          <w:p>
            <w:pPr>
              <w:spacing w:line="300" w:lineRule="exact"/>
              <w:jc w:val="left"/>
              <w:rPr>
                <w:rFonts w:ascii="方正书宋_GBK" w:eastAsia="方正书宋_GBK"/>
                <w:b/>
                <w:highlight w:val="none"/>
              </w:rPr>
            </w:pPr>
            <w:r>
              <w:rPr>
                <w:rFonts w:hint="eastAsia" w:ascii="方正书宋_GBK" w:eastAsia="方正书宋_GBK"/>
                <w:b/>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134" w:type="dxa"/>
            <w:vMerge w:val="restart"/>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产出指标</w:t>
            </w:r>
          </w:p>
        </w:tc>
        <w:tc>
          <w:tcPr>
            <w:tcW w:w="1134"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数量指标</w:t>
            </w:r>
          </w:p>
        </w:tc>
        <w:tc>
          <w:tcPr>
            <w:tcW w:w="1277"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服务数量</w:t>
            </w:r>
          </w:p>
        </w:tc>
        <w:tc>
          <w:tcPr>
            <w:tcW w:w="2893"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服务场所数量</w:t>
            </w:r>
          </w:p>
        </w:tc>
        <w:tc>
          <w:tcPr>
            <w:tcW w:w="1277"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2</w:t>
            </w:r>
            <w:r>
              <w:rPr>
                <w:rFonts w:hint="eastAsia" w:ascii="方正书宋_GBK" w:eastAsia="方正书宋_GBK"/>
                <w:highlight w:val="none"/>
              </w:rPr>
              <w:t>个</w:t>
            </w:r>
          </w:p>
        </w:tc>
        <w:tc>
          <w:tcPr>
            <w:tcW w:w="1702"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134" w:type="dxa"/>
            <w:vMerge w:val="continue"/>
            <w:shd w:val="clear" w:color="auto" w:fill="auto"/>
            <w:noWrap w:val="0"/>
            <w:vAlign w:val="center"/>
          </w:tcPr>
          <w:p>
            <w:pPr>
              <w:spacing w:line="300" w:lineRule="exact"/>
              <w:jc w:val="left"/>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质量指标</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执行率</w:t>
            </w:r>
          </w:p>
        </w:tc>
        <w:tc>
          <w:tcPr>
            <w:tcW w:w="2893"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预算执行率</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2"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134" w:type="dxa"/>
            <w:vMerge w:val="continue"/>
            <w:shd w:val="clear" w:color="auto" w:fill="auto"/>
            <w:noWrap w:val="0"/>
            <w:vAlign w:val="center"/>
          </w:tcPr>
          <w:p>
            <w:pPr>
              <w:spacing w:line="300" w:lineRule="exact"/>
              <w:jc w:val="left"/>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时效指标</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支出时间</w:t>
            </w:r>
          </w:p>
        </w:tc>
        <w:tc>
          <w:tcPr>
            <w:tcW w:w="2893"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支出时限</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2"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134" w:type="dxa"/>
            <w:vMerge w:val="continue"/>
            <w:shd w:val="clear" w:color="auto" w:fill="auto"/>
            <w:noWrap w:val="0"/>
            <w:vAlign w:val="center"/>
          </w:tcPr>
          <w:p>
            <w:pPr>
              <w:spacing w:line="300" w:lineRule="exact"/>
              <w:jc w:val="left"/>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成本指标</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支付金额</w:t>
            </w:r>
          </w:p>
        </w:tc>
        <w:tc>
          <w:tcPr>
            <w:tcW w:w="2893"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支付的经费金额</w:t>
            </w:r>
          </w:p>
        </w:tc>
        <w:tc>
          <w:tcPr>
            <w:tcW w:w="1277"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50</w:t>
            </w:r>
            <w:r>
              <w:rPr>
                <w:rFonts w:hint="eastAsia" w:ascii="方正书宋_GBK" w:eastAsia="方正书宋_GBK"/>
                <w:highlight w:val="none"/>
              </w:rPr>
              <w:t>万元</w:t>
            </w:r>
          </w:p>
        </w:tc>
        <w:tc>
          <w:tcPr>
            <w:tcW w:w="1702"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134" w:type="dxa"/>
            <w:vMerge w:val="restart"/>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效益指标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社会效益指标</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办结率</w:t>
            </w:r>
          </w:p>
        </w:tc>
        <w:tc>
          <w:tcPr>
            <w:tcW w:w="2893"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群众事务办结率</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2"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134" w:type="dxa"/>
            <w:vMerge w:val="continue"/>
            <w:shd w:val="clear" w:color="auto" w:fill="auto"/>
            <w:noWrap w:val="0"/>
            <w:vAlign w:val="center"/>
          </w:tcPr>
          <w:p>
            <w:pPr>
              <w:spacing w:line="300" w:lineRule="exact"/>
              <w:jc w:val="left"/>
              <w:rPr>
                <w:rFonts w:hint="eastAsia" w:ascii="方正书宋_GBK" w:eastAsia="方正书宋_GBK"/>
                <w:highlight w:val="none"/>
              </w:rPr>
            </w:pP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可持续影响指标</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项目持续发挥作用期限</w:t>
            </w:r>
          </w:p>
        </w:tc>
        <w:tc>
          <w:tcPr>
            <w:tcW w:w="2893"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项目持续发挥作用期限</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ascii="方正书宋_GBK" w:eastAsia="方正书宋_GBK"/>
                <w:highlight w:val="none"/>
              </w:rPr>
              <w:t>12</w:t>
            </w:r>
            <w:r>
              <w:rPr>
                <w:rFonts w:hint="eastAsia" w:ascii="方正书宋_GBK" w:eastAsia="方正书宋_GBK"/>
                <w:highlight w:val="none"/>
              </w:rPr>
              <w:t>月</w:t>
            </w:r>
          </w:p>
        </w:tc>
        <w:tc>
          <w:tcPr>
            <w:tcW w:w="1702"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7" w:hRule="atLeast"/>
          <w:jc w:val="center"/>
        </w:trPr>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满意度指标</w:t>
            </w:r>
          </w:p>
        </w:tc>
        <w:tc>
          <w:tcPr>
            <w:tcW w:w="1134"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服务对象满意度指标</w:t>
            </w:r>
          </w:p>
        </w:tc>
        <w:tc>
          <w:tcPr>
            <w:tcW w:w="1277"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服务对象满意度</w:t>
            </w:r>
          </w:p>
        </w:tc>
        <w:tc>
          <w:tcPr>
            <w:tcW w:w="2893"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服务对象满意度</w:t>
            </w:r>
          </w:p>
        </w:tc>
        <w:tc>
          <w:tcPr>
            <w:tcW w:w="1277" w:type="dxa"/>
            <w:shd w:val="clear" w:color="auto" w:fill="auto"/>
            <w:noWrap w:val="0"/>
            <w:vAlign w:val="center"/>
          </w:tcPr>
          <w:p>
            <w:pPr>
              <w:spacing w:line="300" w:lineRule="exact"/>
              <w:jc w:val="left"/>
              <w:rPr>
                <w:rFonts w:ascii="方正书宋_GBK" w:eastAsia="方正书宋_GBK"/>
                <w:highlight w:val="none"/>
              </w:rPr>
            </w:pPr>
            <w:r>
              <w:rPr>
                <w:rFonts w:hint="eastAsia" w:ascii="方正书宋_GBK" w:eastAsia="方正书宋_GBK"/>
                <w:highlight w:val="none"/>
              </w:rPr>
              <w:t>≥</w:t>
            </w:r>
            <w:r>
              <w:rPr>
                <w:rFonts w:ascii="方正书宋_GBK" w:eastAsia="方正书宋_GBK"/>
                <w:highlight w:val="none"/>
              </w:rPr>
              <w:t>90</w:t>
            </w:r>
            <w:r>
              <w:rPr>
                <w:rFonts w:hint="eastAsia" w:ascii="方正书宋_GBK" w:eastAsia="方正书宋_GBK"/>
                <w:highlight w:val="none"/>
              </w:rPr>
              <w:t>比率</w:t>
            </w:r>
          </w:p>
        </w:tc>
        <w:tc>
          <w:tcPr>
            <w:tcW w:w="1702" w:type="dxa"/>
            <w:shd w:val="clear" w:color="auto" w:fill="auto"/>
            <w:noWrap w:val="0"/>
            <w:vAlign w:val="center"/>
          </w:tcPr>
          <w:p>
            <w:pPr>
              <w:spacing w:line="300" w:lineRule="exact"/>
              <w:jc w:val="left"/>
              <w:rPr>
                <w:rFonts w:hint="eastAsia" w:ascii="方正书宋_GBK" w:eastAsia="方正书宋_GBK"/>
                <w:highlight w:val="none"/>
              </w:rPr>
            </w:pPr>
            <w:r>
              <w:rPr>
                <w:rFonts w:hint="eastAsia" w:ascii="方正书宋_GBK" w:eastAsia="方正书宋_GBK"/>
                <w:highlight w:val="none"/>
              </w:rPr>
              <w:t>调查问卷</w:t>
            </w:r>
          </w:p>
        </w:tc>
      </w:tr>
    </w:tbl>
    <w:p>
      <w:pPr>
        <w:spacing w:line="300" w:lineRule="exact"/>
        <w:jc w:val="left"/>
        <w:rPr>
          <w:highlight w:val="none"/>
        </w:rPr>
      </w:pPr>
    </w:p>
    <w:p>
      <w:pPr>
        <w:spacing w:line="300" w:lineRule="exact"/>
        <w:jc w:val="left"/>
        <w:rPr>
          <w:highlight w:val="none"/>
        </w:rPr>
        <w:sectPr>
          <w:pgSz w:w="11907" w:h="16839"/>
          <w:pgMar w:top="1984" w:right="1304" w:bottom="1134" w:left="1304" w:header="851" w:footer="992" w:gutter="0"/>
          <w:cols w:space="425" w:num="1"/>
          <w:docGrid w:type="lines" w:linePitch="312" w:charSpace="0"/>
        </w:sectPr>
      </w:pPr>
    </w:p>
    <w:p>
      <w:pPr>
        <w:spacing w:line="300" w:lineRule="exact"/>
        <w:jc w:val="left"/>
        <w:rPr>
          <w:highlight w:val="none"/>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六、政府采购预算情况</w:t>
      </w:r>
    </w:p>
    <w:p>
      <w:pPr>
        <w:spacing w:line="584" w:lineRule="exact"/>
        <w:ind w:firstLine="640" w:firstLineChars="200"/>
        <w:outlineLvl w:val="0"/>
        <w:rPr>
          <w:rFonts w:ascii="Times New Roman" w:hAnsi="Times New Roman" w:eastAsia="仿宋_GB2312" w:cs="Times New Roman"/>
          <w:sz w:val="32"/>
          <w:szCs w:val="24"/>
          <w:highlight w:val="none"/>
        </w:rPr>
      </w:pPr>
      <w:bookmarkStart w:id="30" w:name="_Toc471398468"/>
      <w:r>
        <w:rPr>
          <w:rFonts w:ascii="Times New Roman" w:hAnsi="Times New Roman" w:eastAsia="仿宋_GB2312" w:cs="Times New Roman"/>
          <w:sz w:val="32"/>
          <w:szCs w:val="24"/>
          <w:highlight w:val="none"/>
        </w:rPr>
        <w:t>20</w:t>
      </w:r>
      <w:r>
        <w:rPr>
          <w:rFonts w:hint="eastAsia" w:ascii="Times New Roman" w:hAnsi="Times New Roman" w:eastAsia="仿宋_GB2312" w:cs="Times New Roman"/>
          <w:sz w:val="32"/>
          <w:szCs w:val="24"/>
          <w:highlight w:val="none"/>
        </w:rPr>
        <w:t>21</w:t>
      </w:r>
      <w:r>
        <w:rPr>
          <w:rFonts w:ascii="Times New Roman" w:hAnsi="Times New Roman" w:eastAsia="仿宋_GB2312" w:cs="Times New Roman"/>
          <w:sz w:val="32"/>
          <w:szCs w:val="24"/>
          <w:highlight w:val="none"/>
        </w:rPr>
        <w:t>年，我单位安排政府采购预算</w:t>
      </w:r>
      <w:r>
        <w:rPr>
          <w:rFonts w:hint="eastAsia" w:ascii="Times New Roman" w:hAnsi="Times New Roman" w:eastAsia="仿宋_GB2312" w:cs="Times New Roman"/>
          <w:sz w:val="32"/>
          <w:szCs w:val="24"/>
          <w:highlight w:val="none"/>
          <w:lang w:val="en-US" w:eastAsia="zh-CN"/>
        </w:rPr>
        <w:t>61.5</w:t>
      </w:r>
      <w:r>
        <w:rPr>
          <w:rFonts w:ascii="Times New Roman" w:hAnsi="Times New Roman" w:eastAsia="仿宋_GB2312" w:cs="Times New Roman"/>
          <w:sz w:val="32"/>
          <w:szCs w:val="24"/>
          <w:highlight w:val="none"/>
        </w:rPr>
        <w:t>万元。具体内容见下表。</w:t>
      </w:r>
    </w:p>
    <w:bookmarkEnd w:id="30"/>
    <w:p>
      <w:pPr>
        <w:spacing w:line="584" w:lineRule="exact"/>
        <w:jc w:val="left"/>
        <w:outlineLvl w:val="0"/>
        <w:rPr>
          <w:rFonts w:ascii="Times New Roman" w:hAnsi="Times New Roman" w:eastAsia="仿宋_GB2312" w:cs="Times New Roman"/>
          <w:highlight w:val="none"/>
        </w:rPr>
      </w:pPr>
    </w:p>
    <w:p>
      <w:pPr>
        <w:jc w:val="center"/>
        <w:outlineLvl w:val="1"/>
        <w:rPr>
          <w:rFonts w:ascii="Times New Roman" w:hAnsi="Times New Roman" w:cs="Times New Roman"/>
          <w:sz w:val="32"/>
          <w:highlight w:val="none"/>
        </w:rPr>
      </w:pPr>
      <w:bookmarkStart w:id="31" w:name="_Toc64920910"/>
      <w:r>
        <w:rPr>
          <w:rFonts w:hint="eastAsia" w:ascii="方正小标宋_GBK" w:eastAsia="方正小标宋_GBK" w:cs="Times New Roman"/>
          <w:sz w:val="32"/>
          <w:highlight w:val="none"/>
        </w:rPr>
        <w:t>单位政府采购预算</w:t>
      </w:r>
      <w:bookmarkEnd w:id="3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highlight w:val="none"/>
              </w:rPr>
            </w:pPr>
            <w:r>
              <w:rPr>
                <w:rFonts w:ascii="方正小标宋_GBK" w:eastAsia="方正小标宋_GBK" w:cs="Times New Roman"/>
                <w:sz w:val="24"/>
                <w:highlight w:val="none"/>
              </w:rPr>
              <w:t>香河县</w:t>
            </w:r>
            <w:r>
              <w:rPr>
                <w:rFonts w:hint="eastAsia" w:ascii="方正小标宋_GBK" w:eastAsia="方正小标宋_GBK"/>
                <w:sz w:val="24"/>
                <w:highlight w:val="none"/>
              </w:rPr>
              <w:t>***</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highlight w:val="none"/>
              </w:rPr>
            </w:pPr>
            <w:r>
              <w:rPr>
                <w:rFonts w:ascii="方正书宋_GBK" w:eastAsia="方正书宋_GBK" w:cs="Times New Roman"/>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数量</w:t>
            </w:r>
          </w:p>
        </w:tc>
        <w:tc>
          <w:tcPr>
            <w:tcW w:w="907" w:type="dxa"/>
            <w:vMerge w:val="restart"/>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单价</w:t>
            </w:r>
          </w:p>
        </w:tc>
        <w:tc>
          <w:tcPr>
            <w:tcW w:w="6804" w:type="dxa"/>
            <w:gridSpan w:val="6"/>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项目名称</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预算资金</w:t>
            </w:r>
          </w:p>
        </w:tc>
        <w:tc>
          <w:tcPr>
            <w:tcW w:w="1531" w:type="dxa"/>
            <w:vMerge w:val="continue"/>
            <w:shd w:val="clear" w:color="auto" w:fill="auto"/>
            <w:vAlign w:val="center"/>
          </w:tcPr>
          <w:p>
            <w:pPr>
              <w:rPr>
                <w:highlight w:val="none"/>
              </w:rPr>
            </w:pPr>
          </w:p>
        </w:tc>
        <w:tc>
          <w:tcPr>
            <w:tcW w:w="1531" w:type="dxa"/>
            <w:vMerge w:val="continue"/>
            <w:shd w:val="clear" w:color="auto" w:fill="auto"/>
            <w:vAlign w:val="center"/>
          </w:tcPr>
          <w:p>
            <w:pPr>
              <w:rPr>
                <w:highlight w:val="none"/>
              </w:rPr>
            </w:pPr>
          </w:p>
        </w:tc>
        <w:tc>
          <w:tcPr>
            <w:tcW w:w="709" w:type="dxa"/>
            <w:vMerge w:val="continue"/>
            <w:shd w:val="clear" w:color="auto" w:fill="auto"/>
            <w:vAlign w:val="center"/>
          </w:tcPr>
          <w:p>
            <w:pPr>
              <w:rPr>
                <w:highlight w:val="none"/>
              </w:rPr>
            </w:pPr>
          </w:p>
        </w:tc>
        <w:tc>
          <w:tcPr>
            <w:tcW w:w="907" w:type="dxa"/>
            <w:vMerge w:val="continue"/>
            <w:shd w:val="clear" w:color="auto" w:fill="auto"/>
            <w:vAlign w:val="center"/>
          </w:tcPr>
          <w:p>
            <w:pPr>
              <w:rPr>
                <w:highlight w:val="none"/>
              </w:rPr>
            </w:pPr>
          </w:p>
        </w:tc>
        <w:tc>
          <w:tcPr>
            <w:tcW w:w="907" w:type="dxa"/>
            <w:vMerge w:val="continue"/>
            <w:shd w:val="clear" w:color="auto" w:fill="auto"/>
            <w:vAlign w:val="center"/>
          </w:tcPr>
          <w:p>
            <w:pPr>
              <w:rPr>
                <w:highlight w:val="none"/>
              </w:rPr>
            </w:pP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合计</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一般公共预算拨款</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基金预算拨款</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财政专户核拨</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highlight w:val="none"/>
              </w:rPr>
            </w:pPr>
            <w:r>
              <w:rPr>
                <w:rFonts w:ascii="方正书宋_GBK" w:eastAsia="方正书宋_GBK" w:cs="Times New Roman"/>
                <w:b/>
                <w:highlight w:val="none"/>
              </w:rPr>
              <w:t>合  计</w:t>
            </w: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531" w:type="dxa"/>
            <w:shd w:val="clear" w:color="auto" w:fill="auto"/>
            <w:vAlign w:val="center"/>
          </w:tcPr>
          <w:p>
            <w:pPr>
              <w:spacing w:line="300" w:lineRule="exact"/>
              <w:jc w:val="left"/>
              <w:rPr>
                <w:rFonts w:ascii="方正书宋_GBK" w:eastAsia="方正书宋_GBK" w:cs="Times New Roman"/>
                <w:b/>
                <w:highlight w:val="none"/>
              </w:rPr>
            </w:pPr>
          </w:p>
        </w:tc>
        <w:tc>
          <w:tcPr>
            <w:tcW w:w="1531" w:type="dxa"/>
            <w:shd w:val="clear" w:color="auto" w:fill="auto"/>
            <w:vAlign w:val="center"/>
          </w:tcPr>
          <w:p>
            <w:pPr>
              <w:spacing w:line="300" w:lineRule="exact"/>
              <w:jc w:val="left"/>
              <w:rPr>
                <w:rFonts w:ascii="方正书宋_GBK" w:eastAsia="方正书宋_GBK" w:cs="Times New Roman"/>
                <w:b/>
                <w:highlight w:val="none"/>
              </w:rPr>
            </w:pPr>
          </w:p>
        </w:tc>
        <w:tc>
          <w:tcPr>
            <w:tcW w:w="709" w:type="dxa"/>
            <w:shd w:val="clear" w:color="auto" w:fill="auto"/>
            <w:vAlign w:val="center"/>
          </w:tcPr>
          <w:p>
            <w:pPr>
              <w:spacing w:line="300" w:lineRule="exact"/>
              <w:jc w:val="center"/>
              <w:rPr>
                <w:rFonts w:ascii="方正书宋_GBK" w:eastAsia="方正书宋_GBK" w:cs="Times New Roman"/>
                <w:b/>
                <w:highlight w:val="none"/>
              </w:rPr>
            </w:pPr>
          </w:p>
        </w:tc>
        <w:tc>
          <w:tcPr>
            <w:tcW w:w="907" w:type="dxa"/>
            <w:shd w:val="clear" w:color="auto" w:fill="auto"/>
            <w:vAlign w:val="center"/>
          </w:tcPr>
          <w:p>
            <w:pPr>
              <w:spacing w:line="300" w:lineRule="exact"/>
              <w:jc w:val="right"/>
              <w:rPr>
                <w:rFonts w:ascii="方正书宋_GBK" w:eastAsia="方正书宋_GBK" w:cs="Times New Roman"/>
                <w:b/>
                <w:highlight w:val="none"/>
              </w:rPr>
            </w:pPr>
          </w:p>
        </w:tc>
        <w:tc>
          <w:tcPr>
            <w:tcW w:w="907"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香河县安平镇人民政府本级小计</w:t>
            </w: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531" w:type="dxa"/>
            <w:shd w:val="clear" w:color="auto" w:fill="auto"/>
            <w:vAlign w:val="center"/>
          </w:tcPr>
          <w:p>
            <w:pPr>
              <w:spacing w:line="300" w:lineRule="exact"/>
              <w:jc w:val="left"/>
              <w:rPr>
                <w:rFonts w:ascii="方正书宋_GBK" w:eastAsia="方正书宋_GBK" w:cs="Times New Roman"/>
                <w:b/>
                <w:highlight w:val="none"/>
              </w:rPr>
            </w:pPr>
          </w:p>
        </w:tc>
        <w:tc>
          <w:tcPr>
            <w:tcW w:w="1531" w:type="dxa"/>
            <w:shd w:val="clear" w:color="auto" w:fill="auto"/>
            <w:vAlign w:val="center"/>
          </w:tcPr>
          <w:p>
            <w:pPr>
              <w:spacing w:line="300" w:lineRule="exact"/>
              <w:jc w:val="left"/>
              <w:rPr>
                <w:rFonts w:ascii="方正书宋_GBK" w:eastAsia="方正书宋_GBK" w:cs="Times New Roman"/>
                <w:b/>
                <w:highlight w:val="none"/>
              </w:rPr>
            </w:pPr>
          </w:p>
        </w:tc>
        <w:tc>
          <w:tcPr>
            <w:tcW w:w="709" w:type="dxa"/>
            <w:shd w:val="clear" w:color="auto" w:fill="auto"/>
            <w:vAlign w:val="center"/>
          </w:tcPr>
          <w:p>
            <w:pPr>
              <w:spacing w:line="300" w:lineRule="exact"/>
              <w:jc w:val="center"/>
              <w:rPr>
                <w:rFonts w:ascii="方正书宋_GBK" w:eastAsia="方正书宋_GBK" w:cs="Times New Roman"/>
                <w:b/>
                <w:highlight w:val="none"/>
              </w:rPr>
            </w:pPr>
          </w:p>
        </w:tc>
        <w:tc>
          <w:tcPr>
            <w:tcW w:w="907" w:type="dxa"/>
            <w:shd w:val="clear" w:color="auto" w:fill="auto"/>
            <w:vAlign w:val="center"/>
          </w:tcPr>
          <w:p>
            <w:pPr>
              <w:spacing w:line="300" w:lineRule="exact"/>
              <w:jc w:val="right"/>
              <w:rPr>
                <w:rFonts w:ascii="方正书宋_GBK" w:eastAsia="方正书宋_GBK" w:cs="Times New Roman"/>
                <w:b/>
                <w:highlight w:val="none"/>
              </w:rPr>
            </w:pPr>
          </w:p>
        </w:tc>
        <w:tc>
          <w:tcPr>
            <w:tcW w:w="907"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r>
              <w:rPr>
                <w:rFonts w:ascii="方正书宋_GBK" w:eastAsia="方正书宋_GBK"/>
                <w:b/>
                <w:highlight w:val="none"/>
              </w:rPr>
              <w:t>61.50</w:t>
            </w:r>
          </w:p>
        </w:tc>
        <w:tc>
          <w:tcPr>
            <w:tcW w:w="1134" w:type="dxa"/>
            <w:shd w:val="clear" w:color="auto" w:fill="auto"/>
            <w:vAlign w:val="center"/>
          </w:tcPr>
          <w:p>
            <w:pPr>
              <w:spacing w:line="300" w:lineRule="exact"/>
              <w:jc w:val="right"/>
              <w:rPr>
                <w:rFonts w:ascii="方正书宋_GBK" w:eastAsia="方正书宋_GBK" w:cs="Times New Roman"/>
                <w:b/>
                <w:highlight w:val="none"/>
              </w:rPr>
            </w:pPr>
            <w:r>
              <w:rPr>
                <w:rFonts w:ascii="方正书宋_GBK" w:eastAsia="方正书宋_GBK"/>
                <w:b/>
                <w:highlight w:val="none"/>
              </w:rPr>
              <w:t>61.50</w:t>
            </w: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highlight w:val="none"/>
              </w:rPr>
            </w:pPr>
            <w:r>
              <w:rPr>
                <w:rFonts w:hint="eastAsia" w:ascii="方正书宋_GBK" w:eastAsia="方正书宋_GBK"/>
                <w:highlight w:val="none"/>
              </w:rPr>
              <w:t>村庄国土空间规划编制项目资金（本级）</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61.50</w:t>
            </w:r>
          </w:p>
        </w:tc>
        <w:tc>
          <w:tcPr>
            <w:tcW w:w="1531" w:type="dxa"/>
            <w:shd w:val="clear" w:color="auto" w:fill="auto"/>
            <w:vAlign w:val="center"/>
          </w:tcPr>
          <w:p>
            <w:pPr>
              <w:spacing w:line="300" w:lineRule="exact"/>
              <w:jc w:val="left"/>
              <w:rPr>
                <w:rFonts w:ascii="方正书宋_GBK" w:eastAsia="方正书宋_GBK" w:cs="Times New Roman"/>
                <w:highlight w:val="none"/>
              </w:rPr>
            </w:pPr>
            <w:r>
              <w:rPr>
                <w:rFonts w:hint="eastAsia" w:ascii="方正书宋_GBK" w:eastAsia="方正书宋_GBK"/>
                <w:highlight w:val="none"/>
              </w:rPr>
              <w:t>城市规划和设计服务</w:t>
            </w:r>
          </w:p>
        </w:tc>
        <w:tc>
          <w:tcPr>
            <w:tcW w:w="1531" w:type="dxa"/>
            <w:shd w:val="clear" w:color="auto" w:fill="auto"/>
            <w:vAlign w:val="center"/>
          </w:tcPr>
          <w:p>
            <w:pPr>
              <w:spacing w:line="300" w:lineRule="exact"/>
              <w:jc w:val="left"/>
              <w:rPr>
                <w:rFonts w:ascii="方正书宋_GBK" w:eastAsia="方正书宋_GBK" w:cs="Times New Roman"/>
                <w:highlight w:val="none"/>
              </w:rPr>
            </w:pPr>
            <w:r>
              <w:rPr>
                <w:rFonts w:ascii="方正书宋_GBK" w:eastAsia="方正书宋_GBK"/>
                <w:highlight w:val="none"/>
              </w:rPr>
              <w:t>C1301</w:t>
            </w:r>
          </w:p>
        </w:tc>
        <w:tc>
          <w:tcPr>
            <w:tcW w:w="709" w:type="dxa"/>
            <w:shd w:val="clear" w:color="auto" w:fill="auto"/>
            <w:vAlign w:val="center"/>
          </w:tcPr>
          <w:p>
            <w:pPr>
              <w:spacing w:line="300" w:lineRule="exact"/>
              <w:jc w:val="center"/>
              <w:rPr>
                <w:rFonts w:ascii="方正书宋_GBK" w:eastAsia="方正书宋_GBK" w:cs="Times New Roman"/>
                <w:highlight w:val="none"/>
              </w:rPr>
            </w:pPr>
            <w:r>
              <w:rPr>
                <w:rFonts w:hint="eastAsia" w:ascii="方正书宋_GBK" w:eastAsia="方正书宋_GBK"/>
                <w:highlight w:val="none"/>
              </w:rPr>
              <w:t>年</w:t>
            </w:r>
          </w:p>
        </w:tc>
        <w:tc>
          <w:tcPr>
            <w:tcW w:w="907"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w:t>
            </w:r>
          </w:p>
        </w:tc>
        <w:tc>
          <w:tcPr>
            <w:tcW w:w="907"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61.50</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61.50</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61.50</w:t>
            </w: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r>
    </w:tbl>
    <w:p>
      <w:pPr>
        <w:spacing w:line="584" w:lineRule="exact"/>
        <w:jc w:val="left"/>
        <w:outlineLvl w:val="0"/>
        <w:rPr>
          <w:rFonts w:ascii="Times New Roman" w:hAnsi="Times New Roman" w:eastAsia="仿宋_GB2312" w:cs="Times New Roman"/>
          <w:highlight w:val="none"/>
        </w:rPr>
        <w:sectPr>
          <w:footerReference r:id="rId5"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七、国有资产信息</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香河县</w:t>
      </w:r>
      <w:r>
        <w:rPr>
          <w:rFonts w:hint="eastAsia" w:ascii="Times New Roman" w:hAnsi="Times New Roman" w:eastAsia="仿宋_GB2312" w:cs="Times New Roman"/>
          <w:sz w:val="32"/>
          <w:szCs w:val="32"/>
          <w:highlight w:val="none"/>
          <w:lang w:val="en-US" w:eastAsia="zh-CN"/>
        </w:rPr>
        <w:t>安平镇人民政府（本级）</w:t>
      </w:r>
      <w:r>
        <w:rPr>
          <w:rFonts w:ascii="Times New Roman" w:hAnsi="Times New Roman" w:eastAsia="仿宋_GB2312" w:cs="Times New Roman"/>
          <w:sz w:val="32"/>
          <w:szCs w:val="32"/>
          <w:highlight w:val="none"/>
        </w:rPr>
        <w:t>上年末固定资产金额为</w:t>
      </w:r>
      <w:r>
        <w:rPr>
          <w:rFonts w:hint="eastAsia" w:ascii="Times New Roman" w:hAnsi="Times New Roman" w:eastAsia="仿宋_GB2312" w:cs="Times New Roman"/>
          <w:sz w:val="32"/>
          <w:szCs w:val="32"/>
          <w:highlight w:val="none"/>
          <w:lang w:val="en-US" w:eastAsia="zh-CN"/>
        </w:rPr>
        <w:t>768.18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（详见下表）</w:t>
      </w:r>
      <w:r>
        <w:rPr>
          <w:rFonts w:ascii="Times New Roman" w:hAnsi="Times New Roman" w:eastAsia="仿宋_GB2312" w:cs="Times New Roman"/>
          <w:sz w:val="32"/>
          <w:szCs w:val="32"/>
          <w:highlight w:val="none"/>
        </w:rPr>
        <w:t>，本年度我单位</w:t>
      </w:r>
      <w:r>
        <w:rPr>
          <w:rFonts w:hint="eastAsia" w:ascii="Times New Roman" w:hAnsi="Times New Roman" w:eastAsia="仿宋_GB2312" w:cs="Times New Roman"/>
          <w:sz w:val="32"/>
          <w:szCs w:val="32"/>
          <w:highlight w:val="none"/>
          <w:lang w:val="en-US" w:eastAsia="zh-CN"/>
        </w:rPr>
        <w:t>未</w:t>
      </w:r>
      <w:r>
        <w:rPr>
          <w:rFonts w:ascii="Times New Roman" w:hAnsi="Times New Roman" w:eastAsia="仿宋_GB2312" w:cs="Times New Roman"/>
          <w:sz w:val="32"/>
          <w:szCs w:val="32"/>
          <w:highlight w:val="none"/>
        </w:rPr>
        <w:t>拟购置固定资产。</w:t>
      </w:r>
    </w:p>
    <w:p>
      <w:pPr>
        <w:spacing w:line="584" w:lineRule="exact"/>
        <w:ind w:firstLine="640"/>
        <w:rPr>
          <w:rFonts w:ascii="Times New Roman" w:hAnsi="Times New Roman" w:eastAsia="仿宋_GB2312" w:cs="Times New Roman"/>
          <w:sz w:val="32"/>
          <w:szCs w:val="32"/>
          <w:highlight w:val="none"/>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highlight w:val="none"/>
              </w:rPr>
            </w:pPr>
            <w:r>
              <w:rPr>
                <w:rFonts w:ascii="Times New Roman" w:hAnsi="Times New Roman" w:eastAsia="仿宋_GB2312" w:cs="Times New Roman"/>
                <w:b/>
                <w:bCs/>
                <w:kern w:val="0"/>
                <w:sz w:val="32"/>
                <w:szCs w:val="32"/>
                <w:highlight w:val="none"/>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编制单位：</w:t>
            </w:r>
            <w:r>
              <w:rPr>
                <w:rFonts w:hint="eastAsia" w:ascii="Times New Roman" w:hAnsi="Times New Roman" w:eastAsia="仿宋_GB2312" w:cs="Times New Roman"/>
                <w:kern w:val="0"/>
                <w:sz w:val="22"/>
                <w:highlight w:val="none"/>
              </w:rPr>
              <w:t>香河县安平镇人民政府（本级）</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截止时间：20</w:t>
            </w:r>
            <w:r>
              <w:rPr>
                <w:rFonts w:hint="eastAsia" w:ascii="Times New Roman" w:hAnsi="Times New Roman" w:eastAsia="仿宋_GB2312" w:cs="Times New Roman"/>
                <w:kern w:val="0"/>
                <w:sz w:val="22"/>
                <w:highlight w:val="none"/>
              </w:rPr>
              <w:t>20</w:t>
            </w:r>
            <w:r>
              <w:rPr>
                <w:rFonts w:ascii="Times New Roman" w:hAnsi="Times New Roman" w:eastAsia="仿宋_GB2312" w:cs="Times New Roman"/>
                <w:kern w:val="0"/>
                <w:sz w:val="22"/>
                <w:highlight w:val="none"/>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highlight w:val="none"/>
              </w:rPr>
            </w:pPr>
            <w:r>
              <w:rPr>
                <w:rFonts w:ascii="Times New Roman" w:hAnsi="Times New Roman" w:eastAsia="仿宋_GB2312" w:cs="Times New Roman"/>
                <w:sz w:val="22"/>
                <w:highlight w:val="none"/>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768.18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2353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156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highlight w:val="none"/>
                <w:lang w:val="en-US" w:eastAsia="zh-CN" w:bidi="ar-SA"/>
              </w:rPr>
            </w:pPr>
            <w:r>
              <w:rPr>
                <w:rFonts w:hint="eastAsia" w:ascii="Times New Roman" w:hAnsi="Times New Roman" w:eastAsia="仿宋_GB2312" w:cs="Times New Roman"/>
                <w:sz w:val="22"/>
                <w:highlight w:val="none"/>
                <w:lang w:val="en-US" w:eastAsia="zh-CN"/>
              </w:rPr>
              <w:t>1746</w:t>
            </w:r>
            <w:bookmarkStart w:id="32" w:name="_GoBack"/>
            <w:bookmarkEnd w:id="32"/>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highlight w:val="none"/>
                <w:lang w:val="en-US" w:eastAsia="zh-CN" w:bidi="ar-SA"/>
              </w:rPr>
            </w:pPr>
            <w:r>
              <w:rPr>
                <w:rFonts w:hint="eastAsia" w:ascii="宋体" w:hAnsi="宋体" w:eastAsia="宋体" w:cs="宋体"/>
                <w:kern w:val="0"/>
                <w:sz w:val="22"/>
                <w:lang w:val="en-US" w:eastAsia="zh-CN"/>
              </w:rPr>
              <w:t>109.2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70.05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highlight w:val="none"/>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highlight w:val="none"/>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3726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542.13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八、名词解释</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1、一般公共预算拨款收入：</w:t>
      </w:r>
      <w:r>
        <w:rPr>
          <w:rFonts w:ascii="Times New Roman" w:hAnsi="Times New Roman" w:eastAsia="仿宋_GB2312" w:cs="Times New Roman"/>
          <w:sz w:val="32"/>
          <w:szCs w:val="32"/>
          <w:highlight w:val="none"/>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2、事业收入：</w:t>
      </w:r>
      <w:r>
        <w:rPr>
          <w:rFonts w:ascii="Times New Roman" w:hAnsi="Times New Roman" w:eastAsia="仿宋_GB2312" w:cs="Times New Roman"/>
          <w:sz w:val="32"/>
          <w:szCs w:val="32"/>
          <w:highlight w:val="none"/>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3、其他收入：</w:t>
      </w:r>
      <w:r>
        <w:rPr>
          <w:rFonts w:ascii="Times New Roman" w:hAnsi="Times New Roman" w:eastAsia="仿宋_GB2312" w:cs="Times New Roman"/>
          <w:sz w:val="32"/>
          <w:szCs w:val="32"/>
          <w:highlight w:val="none"/>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4、基本支出：</w:t>
      </w:r>
      <w:r>
        <w:rPr>
          <w:rFonts w:ascii="Times New Roman" w:hAnsi="Times New Roman" w:eastAsia="仿宋_GB2312" w:cs="Times New Roman"/>
          <w:sz w:val="32"/>
          <w:szCs w:val="32"/>
          <w:highlight w:val="none"/>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5、项目支出：</w:t>
      </w:r>
      <w:r>
        <w:rPr>
          <w:rFonts w:ascii="Times New Roman" w:hAnsi="Times New Roman" w:eastAsia="仿宋_GB2312" w:cs="Times New Roman"/>
          <w:sz w:val="32"/>
          <w:szCs w:val="32"/>
          <w:highlight w:val="none"/>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6、上缴上级支出：</w:t>
      </w:r>
      <w:r>
        <w:rPr>
          <w:rFonts w:ascii="Times New Roman" w:hAnsi="Times New Roman" w:eastAsia="仿宋_GB2312" w:cs="Times New Roman"/>
          <w:sz w:val="32"/>
          <w:szCs w:val="32"/>
          <w:highlight w:val="none"/>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7、“三公”经费：</w:t>
      </w:r>
      <w:r>
        <w:rPr>
          <w:rFonts w:ascii="Times New Roman" w:hAnsi="Times New Roman" w:eastAsia="仿宋_GB2312" w:cs="Times New Roman"/>
          <w:sz w:val="32"/>
          <w:szCs w:val="32"/>
          <w:highlight w:val="none"/>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8、机关运行费：</w:t>
      </w:r>
      <w:r>
        <w:rPr>
          <w:rFonts w:ascii="Times New Roman" w:hAnsi="Times New Roman" w:eastAsia="仿宋_GB2312" w:cs="Times New Roman"/>
          <w:sz w:val="32"/>
          <w:szCs w:val="32"/>
          <w:highlight w:val="none"/>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9、上年结转：</w:t>
      </w:r>
      <w:r>
        <w:rPr>
          <w:rFonts w:ascii="Times New Roman" w:hAnsi="Times New Roman" w:eastAsia="仿宋_GB2312" w:cs="Times New Roman"/>
          <w:sz w:val="32"/>
          <w:szCs w:val="32"/>
          <w:highlight w:val="none"/>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10、事业单位经营支出：</w:t>
      </w:r>
      <w:r>
        <w:rPr>
          <w:rFonts w:ascii="Times New Roman" w:hAnsi="Times New Roman" w:eastAsia="仿宋_GB2312" w:cs="Times New Roman"/>
          <w:sz w:val="32"/>
          <w:szCs w:val="32"/>
          <w:highlight w:val="none"/>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九、其他需要说明的事项</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1C1ECC"/>
    <w:rsid w:val="002C7716"/>
    <w:rsid w:val="004A34CA"/>
    <w:rsid w:val="004A54AA"/>
    <w:rsid w:val="004F2381"/>
    <w:rsid w:val="00660AC0"/>
    <w:rsid w:val="00741520"/>
    <w:rsid w:val="007C03A7"/>
    <w:rsid w:val="007D234F"/>
    <w:rsid w:val="00940421"/>
    <w:rsid w:val="009C0E60"/>
    <w:rsid w:val="00A32D70"/>
    <w:rsid w:val="00AB1BD0"/>
    <w:rsid w:val="00B80935"/>
    <w:rsid w:val="00BD1ACE"/>
    <w:rsid w:val="00D347CC"/>
    <w:rsid w:val="00D77538"/>
    <w:rsid w:val="00EE67B1"/>
    <w:rsid w:val="00F85553"/>
    <w:rsid w:val="082E54C4"/>
    <w:rsid w:val="0A821916"/>
    <w:rsid w:val="130C30D5"/>
    <w:rsid w:val="1646565B"/>
    <w:rsid w:val="166D7C31"/>
    <w:rsid w:val="1AAB73B2"/>
    <w:rsid w:val="1DCA0DF9"/>
    <w:rsid w:val="20CA7E2B"/>
    <w:rsid w:val="2B693C51"/>
    <w:rsid w:val="3B526692"/>
    <w:rsid w:val="43A95BF3"/>
    <w:rsid w:val="470C1B55"/>
    <w:rsid w:val="47C2746F"/>
    <w:rsid w:val="51F177D9"/>
    <w:rsid w:val="52223C78"/>
    <w:rsid w:val="61BD1CF0"/>
    <w:rsid w:val="6C833C4B"/>
    <w:rsid w:val="6EC26007"/>
    <w:rsid w:val="72FB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4</TotalTime>
  <ScaleCrop>false</ScaleCrop>
  <LinksUpToDate>false</LinksUpToDate>
  <CharactersWithSpaces>2968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2021-05-24T06:28:57Z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E05E239FDDDF4BF69C4CF35B89711733</vt:lpwstr>
  </property>
</Properties>
</file>